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8E" w:rsidRPr="000732D8" w:rsidRDefault="000732D8" w:rsidP="00472F03">
      <w:pPr>
        <w:pStyle w:val="Ttulo2"/>
        <w:spacing w:before="0" w:beforeAutospacing="0" w:after="150" w:afterAutospacing="0"/>
        <w:jc w:val="center"/>
        <w:rPr>
          <w:rFonts w:ascii="Book Antiqua" w:hAnsi="Book Antiqua"/>
          <w:sz w:val="22"/>
          <w:szCs w:val="22"/>
          <w:u w:val="single"/>
          <w:lang w:val="es-CL"/>
        </w:rPr>
      </w:pPr>
      <w:r w:rsidRPr="000732D8">
        <w:rPr>
          <w:rFonts w:ascii="Book Antiqua" w:hAnsi="Book Antiqua"/>
          <w:sz w:val="22"/>
          <w:szCs w:val="22"/>
          <w:u w:val="single"/>
          <w:lang w:val="es-CL"/>
        </w:rPr>
        <w:t xml:space="preserve">USO POLÍTICO E INTERVENCIÓN ELECTORAL EN LA ASIGNACIÓN DE RECURSOS DEL MINISTERIO DEL INTERIOR (SUBDERE) DE CARA A LAS ELECCIONES MUNICIPALES. </w:t>
      </w:r>
    </w:p>
    <w:p w:rsidR="001C585E" w:rsidRPr="00781624" w:rsidRDefault="001C585E" w:rsidP="007A2F37"/>
    <w:p w:rsidR="00781624" w:rsidRPr="00781624" w:rsidRDefault="00781624" w:rsidP="007A2F37">
      <w:pPr>
        <w:jc w:val="right"/>
      </w:pPr>
      <w:r w:rsidRPr="00781624">
        <w:t>18 agosto de 2016</w:t>
      </w:r>
    </w:p>
    <w:p w:rsidR="00781624" w:rsidRPr="00781624" w:rsidRDefault="00781624" w:rsidP="007A2F37">
      <w:pPr>
        <w:pStyle w:val="Prrafodelista"/>
        <w:spacing w:after="160" w:line="259" w:lineRule="auto"/>
        <w:ind w:left="1080"/>
        <w:jc w:val="both"/>
        <w:rPr>
          <w:rFonts w:ascii="Book Antiqua" w:hAnsi="Book Antiqua"/>
          <w:b/>
          <w:sz w:val="22"/>
        </w:rPr>
      </w:pPr>
    </w:p>
    <w:p w:rsidR="00781624" w:rsidRPr="00781624" w:rsidRDefault="00781624" w:rsidP="007A2F3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Book Antiqua" w:hAnsi="Book Antiqua"/>
          <w:b/>
          <w:sz w:val="22"/>
        </w:rPr>
      </w:pPr>
      <w:r w:rsidRPr="00781624">
        <w:rPr>
          <w:rFonts w:ascii="Book Antiqua" w:hAnsi="Book Antiqua"/>
          <w:b/>
          <w:sz w:val="22"/>
        </w:rPr>
        <w:t xml:space="preserve">INTRODUCCIÓN </w:t>
      </w:r>
    </w:p>
    <w:p w:rsidR="00EB5171" w:rsidRPr="00EB5171" w:rsidRDefault="00781624" w:rsidP="007A2F37">
      <w:pPr>
        <w:jc w:val="both"/>
        <w:rPr>
          <w:rFonts w:ascii="Book Antiqua" w:hAnsi="Book Antiqua" w:cs="Arial"/>
          <w:bCs/>
          <w:sz w:val="22"/>
          <w:szCs w:val="22"/>
          <w:shd w:val="clear" w:color="auto" w:fill="FFFFFF"/>
          <w:lang w:val="es-ES" w:eastAsia="es-ES"/>
        </w:rPr>
      </w:pPr>
      <w:r w:rsidRPr="00EB5171">
        <w:rPr>
          <w:rFonts w:ascii="Book Antiqua" w:hAnsi="Book Antiqua" w:cs="Arial"/>
          <w:bCs/>
          <w:sz w:val="22"/>
          <w:szCs w:val="22"/>
          <w:shd w:val="clear" w:color="auto" w:fill="FFFFFF"/>
          <w:lang w:val="es-ES" w:eastAsia="es-ES"/>
        </w:rPr>
        <w:t>Además de sus respectivos presupuestos, la principal fuente de financiamiento externo a la cual recurren los municipios son los recursos que año a año asigna la Subsecretaría de Desarrollo Regional, básicamente a través de dos programas: el Programa Mejoramiento Urbano y equipamiento comunal (PMU) y el Programa de Mejoramiento de Barrios (PMB), que en conjunto repartieron más de $ 116 mil millones de pesos solo el año 2015</w:t>
      </w:r>
      <w:r w:rsidR="00EB5171" w:rsidRPr="00EB5171">
        <w:rPr>
          <w:rFonts w:ascii="Book Antiqua" w:hAnsi="Book Antiqua" w:cs="Arial"/>
          <w:bCs/>
          <w:sz w:val="22"/>
          <w:szCs w:val="22"/>
          <w:shd w:val="clear" w:color="auto" w:fill="FFFFFF"/>
          <w:lang w:val="es-ES" w:eastAsia="es-ES"/>
        </w:rPr>
        <w:t xml:space="preserve"> y hasta el 30 de junio del presente año ya han asignado $42.767.062.063</w:t>
      </w:r>
    </w:p>
    <w:p w:rsidR="00781624" w:rsidRPr="00781624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 w:rsidRPr="00781624">
        <w:rPr>
          <w:rFonts w:ascii="Book Antiqua" w:hAnsi="Book Antiqua"/>
          <w:b w:val="0"/>
          <w:sz w:val="22"/>
          <w:szCs w:val="22"/>
          <w:lang w:val="es-CL"/>
        </w:rPr>
        <w:t xml:space="preserve"> </w:t>
      </w:r>
    </w:p>
    <w:p w:rsidR="00781624" w:rsidRPr="00781624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 w:cs="Arial"/>
          <w:b w:val="0"/>
          <w:sz w:val="22"/>
          <w:szCs w:val="22"/>
          <w:shd w:val="clear" w:color="auto" w:fill="FFFFFF"/>
        </w:rPr>
      </w:pPr>
      <w:r w:rsidRPr="00781624">
        <w:rPr>
          <w:rFonts w:ascii="Book Antiqua" w:hAnsi="Book Antiqua"/>
          <w:b w:val="0"/>
          <w:sz w:val="22"/>
          <w:szCs w:val="22"/>
          <w:lang w:val="es-CL"/>
        </w:rPr>
        <w:t xml:space="preserve">El programa de </w:t>
      </w:r>
      <w:r w:rsidRPr="00781624">
        <w:rPr>
          <w:rFonts w:ascii="Book Antiqua" w:hAnsi="Book Antiqua"/>
          <w:b w:val="0"/>
          <w:bCs w:val="0"/>
          <w:sz w:val="22"/>
          <w:szCs w:val="22"/>
        </w:rPr>
        <w:t xml:space="preserve">Programa Mejoramiento Urbano y equipamiento comunal (PMU) </w:t>
      </w:r>
      <w:r w:rsidRPr="00781624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es una línea de financiamiento del Ministerio del Interior, administrado por la SUBDERE, para proyectos de inversión en infraestructura menor urbana y equipamiento comunal (Instalación de mobiliario urbano en plazas; mantención de áreas verdes; reposición de veredas; habilitación de canchas deportivas; mejoramiento de sedes sociales etc.) cuyo objeto es colaborar en la generación de empleo y en el mejoramiento de la calidad de vida de la población más vulnerable del país.</w:t>
      </w:r>
      <w:r w:rsidRPr="00781624">
        <w:rPr>
          <w:rStyle w:val="Refdenotaalpie"/>
          <w:rFonts w:ascii="Book Antiqua" w:hAnsi="Book Antiqua" w:cs="Arial"/>
          <w:b w:val="0"/>
          <w:sz w:val="22"/>
          <w:szCs w:val="22"/>
          <w:shd w:val="clear" w:color="auto" w:fill="FFFFFF"/>
        </w:rPr>
        <w:footnoteReference w:id="1"/>
      </w:r>
    </w:p>
    <w:p w:rsidR="00781624" w:rsidRPr="00781624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781624" w:rsidRPr="00781624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 w:rsidRPr="00781624">
        <w:rPr>
          <w:rFonts w:ascii="Book Antiqua" w:hAnsi="Book Antiqua"/>
          <w:b w:val="0"/>
          <w:sz w:val="22"/>
          <w:szCs w:val="22"/>
          <w:lang w:val="es-CL"/>
        </w:rPr>
        <w:t>A su turno, el Programa de Mejoramiento de Barrios (PMB) es un programa social, administrado por la SUBDERE y los Gobiernos Regionales, que opera bajo la modalidad de transferencias de recursos a otras entidades públicas y a través del Fondo Nacional de Desarrollo Regional, que otorga soluciones sanitarias a la población de escasos recursos del país que habita en condiciones de marginalidad sanitaria, entre otras: estudios para soluciones de agua potable; cambio o instalación de luminarias y mejoramiento de sistemas de alcantarillado.</w:t>
      </w:r>
      <w:r w:rsidRPr="00781624">
        <w:rPr>
          <w:rStyle w:val="Refdenotaalpie"/>
          <w:rFonts w:ascii="Book Antiqua" w:hAnsi="Book Antiqua"/>
          <w:b w:val="0"/>
          <w:sz w:val="22"/>
          <w:szCs w:val="22"/>
        </w:rPr>
        <w:footnoteReference w:id="2"/>
      </w:r>
      <w:r w:rsidRPr="00781624">
        <w:rPr>
          <w:rFonts w:ascii="Book Antiqua" w:hAnsi="Book Antiqua"/>
          <w:b w:val="0"/>
          <w:sz w:val="22"/>
          <w:szCs w:val="22"/>
          <w:lang w:val="es-CL"/>
        </w:rPr>
        <w:t xml:space="preserve"> </w:t>
      </w:r>
    </w:p>
    <w:p w:rsidR="00781624" w:rsidRPr="00781624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781624" w:rsidRPr="00781624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 w:rsidRPr="00781624">
        <w:rPr>
          <w:rFonts w:ascii="Book Antiqua" w:hAnsi="Book Antiqua"/>
          <w:b w:val="0"/>
          <w:sz w:val="22"/>
          <w:szCs w:val="22"/>
          <w:lang w:val="es-CL"/>
        </w:rPr>
        <w:t>Dado el impacto que tiene en la gestión municipal la asignación de estos recursos y los montos involucrados que entre los años 2014, 2015 y el primer semestre del 2016, alcanzaron los $ 410.465 millones de pesos</w:t>
      </w:r>
      <w:r w:rsidRPr="00781624">
        <w:rPr>
          <w:rStyle w:val="Refdenotaalpie"/>
          <w:rFonts w:ascii="Book Antiqua" w:hAnsi="Book Antiqua"/>
          <w:b w:val="0"/>
          <w:sz w:val="22"/>
          <w:szCs w:val="22"/>
        </w:rPr>
        <w:footnoteReference w:id="3"/>
      </w:r>
      <w:r w:rsidRPr="00781624">
        <w:rPr>
          <w:rStyle w:val="Refdenotaalpie"/>
          <w:rFonts w:ascii="Book Antiqua" w:hAnsi="Book Antiqua"/>
          <w:b w:val="0"/>
          <w:sz w:val="22"/>
          <w:szCs w:val="22"/>
        </w:rPr>
        <w:footnoteReference w:id="4"/>
      </w:r>
      <w:r w:rsidRPr="00781624">
        <w:rPr>
          <w:rFonts w:ascii="Book Antiqua" w:hAnsi="Book Antiqua"/>
          <w:b w:val="0"/>
          <w:sz w:val="22"/>
          <w:szCs w:val="22"/>
          <w:lang w:val="es-CL"/>
        </w:rPr>
        <w:t xml:space="preserve"> (aproximadamente US$ 630 millones de dólares</w:t>
      </w:r>
      <w:r w:rsidRPr="00781624">
        <w:rPr>
          <w:rStyle w:val="Refdenotaalpie"/>
          <w:rFonts w:ascii="Book Antiqua" w:hAnsi="Book Antiqua"/>
          <w:b w:val="0"/>
          <w:sz w:val="22"/>
          <w:szCs w:val="22"/>
        </w:rPr>
        <w:footnoteReference w:id="5"/>
      </w:r>
      <w:r w:rsidRPr="00781624">
        <w:rPr>
          <w:rFonts w:ascii="Book Antiqua" w:hAnsi="Book Antiqua"/>
          <w:b w:val="0"/>
          <w:sz w:val="22"/>
          <w:szCs w:val="22"/>
          <w:lang w:val="es-CL"/>
        </w:rPr>
        <w:t xml:space="preserve"> casi 16 veces lo que recaudó la Teletón el año pasado</w:t>
      </w:r>
      <w:r w:rsidRPr="00781624">
        <w:rPr>
          <w:rStyle w:val="Refdenotaalpie"/>
          <w:rFonts w:ascii="Book Antiqua" w:hAnsi="Book Antiqua"/>
          <w:b w:val="0"/>
          <w:sz w:val="22"/>
          <w:szCs w:val="22"/>
        </w:rPr>
        <w:footnoteReference w:id="6"/>
      </w:r>
      <w:r w:rsidRPr="00781624">
        <w:rPr>
          <w:rFonts w:ascii="Book Antiqua" w:hAnsi="Book Antiqua"/>
          <w:b w:val="0"/>
          <w:sz w:val="22"/>
          <w:szCs w:val="22"/>
          <w:lang w:val="es-CL"/>
        </w:rPr>
        <w:t xml:space="preserve">)el presente estudio tiene por objeto determinar los criterios en virtud de los cuales se han asignado  estos recursos desde que </w:t>
      </w:r>
      <w:r w:rsidRPr="00781624">
        <w:rPr>
          <w:rFonts w:ascii="Book Antiqua" w:hAnsi="Book Antiqua"/>
          <w:b w:val="0"/>
          <w:sz w:val="22"/>
          <w:szCs w:val="22"/>
          <w:lang w:val="es-CL"/>
        </w:rPr>
        <w:lastRenderedPageBreak/>
        <w:t>asumió la Nueva Mayoría, poniendo especial énfasis en los eventuales sesgos políticos en la asignación de estos recursos.</w:t>
      </w:r>
    </w:p>
    <w:p w:rsidR="00781624" w:rsidRPr="00781624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781624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 w:rsidRPr="00781624">
        <w:rPr>
          <w:rFonts w:ascii="Book Antiqua" w:hAnsi="Book Antiqua"/>
          <w:b w:val="0"/>
          <w:sz w:val="22"/>
          <w:szCs w:val="22"/>
          <w:lang w:val="es-CL"/>
        </w:rPr>
        <w:t>Para realizar este estudio se agruparon los 345 municipios de Chile en 5 categorías:</w:t>
      </w:r>
    </w:p>
    <w:p w:rsidR="001C585E" w:rsidRPr="00781624" w:rsidRDefault="001C585E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781624" w:rsidRPr="00781624" w:rsidRDefault="00781624" w:rsidP="007A2F37">
      <w:pPr>
        <w:pStyle w:val="Ttulo2"/>
        <w:numPr>
          <w:ilvl w:val="0"/>
          <w:numId w:val="2"/>
        </w:numPr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 w:rsidRPr="00781624">
        <w:rPr>
          <w:rFonts w:ascii="Book Antiqua" w:hAnsi="Book Antiqua"/>
          <w:b w:val="0"/>
          <w:sz w:val="22"/>
          <w:szCs w:val="22"/>
          <w:lang w:val="es-CL"/>
        </w:rPr>
        <w:t>Aquellas Municipalidades cuyos Alcaldes, actualmente en ejercicio, fueron electos el año 2012 al alero de alguna lista o pacto político de la Nueva Mayoría.</w:t>
      </w:r>
    </w:p>
    <w:p w:rsidR="00781624" w:rsidRPr="00781624" w:rsidRDefault="00781624" w:rsidP="007A2F37">
      <w:pPr>
        <w:pStyle w:val="Ttulo2"/>
        <w:numPr>
          <w:ilvl w:val="0"/>
          <w:numId w:val="2"/>
        </w:numPr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 w:rsidRPr="00781624">
        <w:rPr>
          <w:rFonts w:ascii="Book Antiqua" w:hAnsi="Book Antiqua"/>
          <w:b w:val="0"/>
          <w:sz w:val="22"/>
          <w:szCs w:val="22"/>
          <w:lang w:val="es-CL"/>
        </w:rPr>
        <w:t xml:space="preserve"> Aquellas Municipalidades cuyos Alcaldes, actualmente en ejercicio, fueron electos el año 2012 al alero de alguna lista o pacto político de la Coalición por el Cambio (actualmente Chile Vamos).</w:t>
      </w:r>
    </w:p>
    <w:p w:rsidR="00781624" w:rsidRPr="00781624" w:rsidRDefault="00781624" w:rsidP="007A2F37">
      <w:pPr>
        <w:pStyle w:val="Ttulo2"/>
        <w:numPr>
          <w:ilvl w:val="0"/>
          <w:numId w:val="2"/>
        </w:numPr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 w:rsidRPr="00781624">
        <w:rPr>
          <w:rFonts w:ascii="Book Antiqua" w:hAnsi="Book Antiqua"/>
          <w:b w:val="0"/>
          <w:sz w:val="22"/>
          <w:szCs w:val="22"/>
          <w:lang w:val="es-CL"/>
        </w:rPr>
        <w:t>Aquellas Municipalidades cuyos Alcaldes, actualmente en ejercicio, fueron electos el año 2012 al alero de alguna lista o pacto político del Partido Progresista o PRO.</w:t>
      </w:r>
    </w:p>
    <w:p w:rsidR="00781624" w:rsidRPr="00781624" w:rsidRDefault="00781624" w:rsidP="007A2F37">
      <w:pPr>
        <w:pStyle w:val="Ttulo2"/>
        <w:numPr>
          <w:ilvl w:val="0"/>
          <w:numId w:val="2"/>
        </w:numPr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 w:rsidRPr="00781624">
        <w:rPr>
          <w:rFonts w:ascii="Book Antiqua" w:hAnsi="Book Antiqua"/>
          <w:b w:val="0"/>
          <w:sz w:val="22"/>
          <w:szCs w:val="22"/>
          <w:lang w:val="es-CL"/>
        </w:rPr>
        <w:t>Aquellas Municipalidades cuyos Alcaldes, actualmente en ejercicio, fueron electos el año 2012 fuera de algún pacto político, pero que han expresado en forma pública, clara, categórica e indubitada su adhesión a un sector determinado.</w:t>
      </w:r>
    </w:p>
    <w:p w:rsidR="00781624" w:rsidRPr="00781624" w:rsidRDefault="00781624" w:rsidP="007A2F37">
      <w:pPr>
        <w:pStyle w:val="Ttulo2"/>
        <w:numPr>
          <w:ilvl w:val="0"/>
          <w:numId w:val="2"/>
        </w:numPr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 w:rsidRPr="00781624">
        <w:rPr>
          <w:rFonts w:ascii="Book Antiqua" w:hAnsi="Book Antiqua"/>
          <w:b w:val="0"/>
          <w:sz w:val="22"/>
          <w:szCs w:val="22"/>
          <w:lang w:val="es-CL"/>
        </w:rPr>
        <w:t xml:space="preserve">  Aquellas Municipalidades cuyos Alcaldes, actualmente en ejercicio, fueron electos el año 2012 fuera de algún pacto político y que no han manifestado su adhesión a alguno de los conglomerados.</w:t>
      </w:r>
    </w:p>
    <w:p w:rsidR="00781624" w:rsidRPr="00781624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781624" w:rsidRPr="00781624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 w:rsidRPr="00781624">
        <w:rPr>
          <w:rFonts w:ascii="Book Antiqua" w:hAnsi="Book Antiqua"/>
          <w:b w:val="0"/>
          <w:sz w:val="22"/>
          <w:szCs w:val="22"/>
          <w:lang w:val="es-CL"/>
        </w:rPr>
        <w:t xml:space="preserve">Para determinar un standard de ecuanimidad mínimo o razonable en la asignación de los recursos se utilizó el parámetro de la población gobernada por cada coalición, es decir, el número de habitantes que cada comuna posee y que se encuentra administrada por un determinado Alcalde, el cual a su turno adhiere a un determinado sector político; toda vez que resulta evidente que habrá lógicas diferencias en la asignación de recursos a municipios con mayor población respecto de aquellos que tienen menor número de habitantes.   </w:t>
      </w:r>
    </w:p>
    <w:p w:rsidR="00781624" w:rsidRPr="00781624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781624" w:rsidRPr="003820F7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sz w:val="22"/>
          <w:szCs w:val="22"/>
          <w:u w:val="single"/>
          <w:lang w:val="es-CL"/>
        </w:rPr>
      </w:pPr>
      <w:r w:rsidRPr="003820F7">
        <w:rPr>
          <w:rFonts w:ascii="Book Antiqua" w:hAnsi="Book Antiqua"/>
          <w:sz w:val="22"/>
          <w:szCs w:val="22"/>
          <w:u w:val="single"/>
          <w:lang w:val="es-CL"/>
        </w:rPr>
        <w:t>CONCLUSIONES</w:t>
      </w:r>
    </w:p>
    <w:p w:rsidR="00781624" w:rsidRPr="00781624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781624" w:rsidRPr="00781624" w:rsidRDefault="00781624" w:rsidP="007A2F37">
      <w:pPr>
        <w:pStyle w:val="Ttulo2"/>
        <w:spacing w:before="0" w:beforeAutospacing="0" w:after="150" w:afterAutospacing="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 w:rsidRPr="00781624">
        <w:rPr>
          <w:rFonts w:ascii="Book Antiqua" w:hAnsi="Book Antiqua"/>
          <w:b w:val="0"/>
          <w:sz w:val="22"/>
          <w:szCs w:val="22"/>
          <w:lang w:val="es-CL"/>
        </w:rPr>
        <w:t>Resulta absolutamente inexplicable que:</w:t>
      </w:r>
    </w:p>
    <w:p w:rsidR="000732D8" w:rsidRDefault="000732D8" w:rsidP="007A2F37">
      <w:pPr>
        <w:pStyle w:val="Ttulo2"/>
        <w:spacing w:before="0" w:beforeAutospacing="0" w:after="150" w:afterAutospacing="0"/>
        <w:ind w:left="36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>
        <w:rPr>
          <w:rFonts w:ascii="Book Antiqua" w:hAnsi="Book Antiqua"/>
          <w:b w:val="0"/>
          <w:sz w:val="22"/>
          <w:szCs w:val="22"/>
          <w:lang w:val="es-CL"/>
        </w:rPr>
        <w:t>1.-  Mientras el 2014, primer año de gobierno de la Nueva Mayorí</w:t>
      </w:r>
      <w:r w:rsidR="003820F7">
        <w:rPr>
          <w:rFonts w:ascii="Book Antiqua" w:hAnsi="Book Antiqua"/>
          <w:b w:val="0"/>
          <w:sz w:val="22"/>
          <w:szCs w:val="22"/>
          <w:lang w:val="es-CL"/>
        </w:rPr>
        <w:t xml:space="preserve">a, </w:t>
      </w:r>
      <w:r>
        <w:rPr>
          <w:rFonts w:ascii="Book Antiqua" w:hAnsi="Book Antiqua"/>
          <w:b w:val="0"/>
          <w:sz w:val="22"/>
          <w:szCs w:val="22"/>
          <w:lang w:val="es-CL"/>
        </w:rPr>
        <w:t xml:space="preserve">los recursos de los Programas PMU y PMB se asignaron en un 57% a la Nueva Mayoría </w:t>
      </w:r>
      <w:proofErr w:type="gramStart"/>
      <w:r>
        <w:rPr>
          <w:rFonts w:ascii="Book Antiqua" w:hAnsi="Book Antiqua"/>
          <w:b w:val="0"/>
          <w:sz w:val="22"/>
          <w:szCs w:val="22"/>
          <w:lang w:val="es-CL"/>
        </w:rPr>
        <w:t>y  un</w:t>
      </w:r>
      <w:proofErr w:type="gramEnd"/>
      <w:r>
        <w:rPr>
          <w:rFonts w:ascii="Book Antiqua" w:hAnsi="Book Antiqua"/>
          <w:b w:val="0"/>
          <w:sz w:val="22"/>
          <w:szCs w:val="22"/>
          <w:lang w:val="es-CL"/>
        </w:rPr>
        <w:t xml:space="preserve"> 38% a comunas cuyo Alcalde adhiere a la Chile Vamos; el primer semestre del año 2016, año electoral, esto cambio drásticamente sin motivo objetivo alguno asignándose, un 69,1% de los recursos a comunas cuyo Alcalde adhiere a la Nueva Mayoría y apenas un 27,8%  de los recursos a comunas cuyo Alcalde adhiere a la Chile Vamos.</w:t>
      </w:r>
    </w:p>
    <w:p w:rsidR="000732D8" w:rsidRDefault="000732D8" w:rsidP="007A2F37">
      <w:pPr>
        <w:pStyle w:val="Ttulo2"/>
        <w:spacing w:before="0" w:beforeAutospacing="0" w:after="150" w:afterAutospacing="0"/>
        <w:ind w:left="36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>
        <w:rPr>
          <w:rFonts w:ascii="Book Antiqua" w:hAnsi="Book Antiqua"/>
          <w:b w:val="0"/>
          <w:sz w:val="22"/>
          <w:szCs w:val="22"/>
          <w:lang w:val="es-CL"/>
        </w:rPr>
        <w:t>2.- Al analizar la evolución de los porcentajes de recursos asignados por la SUBDERE del actual Gobierno a las comunas cuyo Alcalde adhiere a la Nueva Mayoría, se comprueba fácilmente qu</w:t>
      </w:r>
      <w:r w:rsidR="003820F7">
        <w:rPr>
          <w:rFonts w:ascii="Book Antiqua" w:hAnsi="Book Antiqua"/>
          <w:b w:val="0"/>
          <w:sz w:val="22"/>
          <w:szCs w:val="22"/>
          <w:lang w:val="es-CL"/>
        </w:rPr>
        <w:t xml:space="preserve">e este aumenta ostensiblemente año a año </w:t>
      </w:r>
      <w:r>
        <w:rPr>
          <w:rFonts w:ascii="Book Antiqua" w:hAnsi="Book Antiqua"/>
          <w:b w:val="0"/>
          <w:sz w:val="22"/>
          <w:szCs w:val="22"/>
          <w:lang w:val="es-CL"/>
        </w:rPr>
        <w:t xml:space="preserve">y, por el contrario, </w:t>
      </w:r>
      <w:r>
        <w:rPr>
          <w:rFonts w:ascii="Book Antiqua" w:hAnsi="Book Antiqua"/>
          <w:b w:val="0"/>
          <w:sz w:val="22"/>
          <w:szCs w:val="22"/>
          <w:lang w:val="es-CL"/>
        </w:rPr>
        <w:lastRenderedPageBreak/>
        <w:t xml:space="preserve">el porcentaje de recursos asignados año a año a las comunas cuyo </w:t>
      </w:r>
      <w:r w:rsidR="003F3638">
        <w:rPr>
          <w:rFonts w:ascii="Book Antiqua" w:hAnsi="Book Antiqua"/>
          <w:b w:val="0"/>
          <w:sz w:val="22"/>
          <w:szCs w:val="22"/>
          <w:lang w:val="es-CL"/>
        </w:rPr>
        <w:t xml:space="preserve">Alcalde adhiere a Chile Vamos, </w:t>
      </w:r>
      <w:bookmarkStart w:id="0" w:name="_GoBack"/>
      <w:bookmarkEnd w:id="0"/>
      <w:r>
        <w:rPr>
          <w:rFonts w:ascii="Book Antiqua" w:hAnsi="Book Antiqua"/>
          <w:b w:val="0"/>
          <w:sz w:val="22"/>
          <w:szCs w:val="22"/>
          <w:lang w:val="es-CL"/>
        </w:rPr>
        <w:t xml:space="preserve">sin existir motivo </w:t>
      </w:r>
      <w:r w:rsidRPr="00BE3F29">
        <w:rPr>
          <w:rFonts w:ascii="Book Antiqua" w:hAnsi="Book Antiqua"/>
          <w:b w:val="0"/>
          <w:sz w:val="22"/>
          <w:szCs w:val="22"/>
          <w:lang w:val="es-CL"/>
        </w:rPr>
        <w:t>objetivo alguno</w:t>
      </w:r>
      <w:r>
        <w:rPr>
          <w:rFonts w:ascii="Book Antiqua" w:hAnsi="Book Antiqua"/>
          <w:b w:val="0"/>
          <w:sz w:val="22"/>
          <w:szCs w:val="22"/>
          <w:lang w:val="es-CL"/>
        </w:rPr>
        <w:t>,</w:t>
      </w:r>
      <w:r w:rsidRPr="00BE3F29">
        <w:rPr>
          <w:rFonts w:ascii="Book Antiqua" w:hAnsi="Book Antiqua"/>
          <w:b w:val="0"/>
          <w:sz w:val="22"/>
          <w:szCs w:val="22"/>
          <w:lang w:val="es-CL"/>
        </w:rPr>
        <w:t xml:space="preserve"> </w:t>
      </w:r>
      <w:r>
        <w:rPr>
          <w:rFonts w:ascii="Book Antiqua" w:hAnsi="Book Antiqua"/>
          <w:b w:val="0"/>
          <w:sz w:val="22"/>
          <w:szCs w:val="22"/>
          <w:lang w:val="es-CL"/>
        </w:rPr>
        <w:t xml:space="preserve">disminuye. </w:t>
      </w:r>
    </w:p>
    <w:p w:rsidR="000732D8" w:rsidRDefault="000732D8" w:rsidP="007A2F37">
      <w:pPr>
        <w:pStyle w:val="Ttulo2"/>
        <w:spacing w:before="0" w:beforeAutospacing="0" w:after="150" w:afterAutospacing="0"/>
        <w:ind w:left="36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 w:rsidRPr="00BE3F29">
        <w:rPr>
          <w:rFonts w:ascii="Book Antiqua" w:hAnsi="Book Antiqua"/>
          <w:b w:val="0"/>
          <w:sz w:val="22"/>
          <w:szCs w:val="22"/>
          <w:lang w:val="es-CL"/>
        </w:rPr>
        <w:t xml:space="preserve">En el caso de los </w:t>
      </w:r>
      <w:r>
        <w:rPr>
          <w:rFonts w:ascii="Book Antiqua" w:hAnsi="Book Antiqua"/>
          <w:b w:val="0"/>
          <w:sz w:val="22"/>
          <w:szCs w:val="22"/>
          <w:lang w:val="es-CL"/>
        </w:rPr>
        <w:t>PMB</w:t>
      </w:r>
      <w:r w:rsidRPr="00BE3F29">
        <w:rPr>
          <w:rFonts w:ascii="Book Antiqua" w:hAnsi="Book Antiqua"/>
          <w:b w:val="0"/>
          <w:sz w:val="22"/>
          <w:szCs w:val="22"/>
          <w:lang w:val="es-CL"/>
        </w:rPr>
        <w:t xml:space="preserve"> los recursos asignados a comunas cuyo Alcalde adhiere a la Nueva Mayoría suben de un 57.1% el año 2014 a un 74.9% el año de las elecciones (primer semestre de 2016). Mientras que los recursos asignados a comunas cuyo Alcalde adhiere a Chile Vamos bajan de un 37.6% el año 2014 a un 17.2% el primer semestre de 2016.</w:t>
      </w:r>
    </w:p>
    <w:p w:rsidR="000732D8" w:rsidRDefault="000732D8" w:rsidP="007A2F37">
      <w:pPr>
        <w:pStyle w:val="Ttulo2"/>
        <w:spacing w:before="0" w:beforeAutospacing="0" w:after="150" w:afterAutospacing="0"/>
        <w:ind w:left="36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>
        <w:rPr>
          <w:rFonts w:ascii="Book Antiqua" w:hAnsi="Book Antiqua"/>
          <w:b w:val="0"/>
          <w:sz w:val="22"/>
          <w:szCs w:val="22"/>
          <w:lang w:val="es-CL"/>
        </w:rPr>
        <w:t>En el caso de los PMU los recursos asignados a comunas cuyo Alcalde adhiere a la Nueva Mayoría suben de un 58.3% el año 2014 a un 66% el año de las elecciones (primer semestre de 2016). Mientras que los recursos asignados a comunas cuyo Alcalde adhiere a Chile Vamos bajan de un 38.3% el año 2014 a un 33.6%.  el primer semestre de 2016.</w:t>
      </w:r>
    </w:p>
    <w:p w:rsidR="000732D8" w:rsidRDefault="000732D8" w:rsidP="007A2F37">
      <w:pPr>
        <w:pStyle w:val="Ttulo2"/>
        <w:spacing w:before="0" w:beforeAutospacing="0" w:after="150" w:afterAutospacing="0"/>
        <w:ind w:left="36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>
        <w:rPr>
          <w:rFonts w:ascii="Book Antiqua" w:hAnsi="Book Antiqua"/>
          <w:b w:val="0"/>
          <w:sz w:val="22"/>
          <w:szCs w:val="22"/>
          <w:lang w:val="es-CL"/>
        </w:rPr>
        <w:t xml:space="preserve">3.- </w:t>
      </w:r>
      <w:r w:rsidRPr="006107C4">
        <w:rPr>
          <w:rFonts w:ascii="Book Antiqua" w:hAnsi="Book Antiqua"/>
          <w:b w:val="0"/>
          <w:sz w:val="22"/>
          <w:szCs w:val="22"/>
          <w:lang w:val="es-CL"/>
        </w:rPr>
        <w:t>Resulta inexplicable que, precisamente en el año electoral, se alteren bruscamente los criterios de asignación de estos recursos destinados a necesidades sociales, En conjunto de las dos líneas</w:t>
      </w:r>
      <w:r>
        <w:rPr>
          <w:rFonts w:ascii="Book Antiqua" w:hAnsi="Book Antiqua"/>
          <w:b w:val="0"/>
          <w:sz w:val="22"/>
          <w:szCs w:val="22"/>
          <w:lang w:val="es-CL"/>
        </w:rPr>
        <w:t xml:space="preserve"> de financiamiento de SUBDERE, </w:t>
      </w:r>
      <w:r w:rsidRPr="006107C4">
        <w:rPr>
          <w:rFonts w:ascii="Book Antiqua" w:hAnsi="Book Antiqua"/>
          <w:b w:val="0"/>
          <w:sz w:val="22"/>
          <w:szCs w:val="22"/>
          <w:lang w:val="es-CL"/>
        </w:rPr>
        <w:t xml:space="preserve">el año 2016 un 69.1% de los recursos se asignaron a comunas cuyo Alcalde adhiere a la Nueva Mayoría y apenas un 27, 8% de los recursos fueron a comunas cuyo Alcalde adhiere a la Chile Vamos. Esta distribución es abiertamente desproporcionada si consideramos que la población perteneciente a las comunas gobernadas por alcaldes de </w:t>
      </w:r>
      <w:proofErr w:type="spellStart"/>
      <w:r w:rsidRPr="006107C4">
        <w:rPr>
          <w:rFonts w:ascii="Book Antiqua" w:hAnsi="Book Antiqua"/>
          <w:b w:val="0"/>
          <w:sz w:val="22"/>
          <w:szCs w:val="22"/>
          <w:lang w:val="es-CL"/>
        </w:rPr>
        <w:t>ChileVamos</w:t>
      </w:r>
      <w:proofErr w:type="spellEnd"/>
      <w:r w:rsidRPr="006107C4">
        <w:rPr>
          <w:rFonts w:ascii="Book Antiqua" w:hAnsi="Book Antiqua"/>
          <w:b w:val="0"/>
          <w:sz w:val="22"/>
          <w:szCs w:val="22"/>
          <w:lang w:val="es-CL"/>
        </w:rPr>
        <w:t xml:space="preserve"> supera el 42% y en el caso de la Nueva Mayoría solo a un 54%.  </w:t>
      </w:r>
    </w:p>
    <w:p w:rsidR="000732D8" w:rsidRDefault="000732D8" w:rsidP="007A2F37">
      <w:pPr>
        <w:pStyle w:val="Ttulo2"/>
        <w:spacing w:before="0" w:beforeAutospacing="0" w:after="150" w:afterAutospacing="0"/>
        <w:ind w:left="36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>
        <w:rPr>
          <w:rFonts w:ascii="Book Antiqua" w:hAnsi="Book Antiqua"/>
          <w:b w:val="0"/>
          <w:sz w:val="22"/>
          <w:szCs w:val="22"/>
          <w:lang w:val="es-CL"/>
        </w:rPr>
        <w:t>4.- Es más, cuando se analiza la inversión per cápita de los proyectos las diferencias también son dramáticas: El primer semestre del año 2016 la inversión per cápita en las comunas cuyo Alcalde adhiere a la Nueva Mayoría alcanzó a los $ 9.122 por persona; mientras que en el caso de las comunas cuyo Alcalde adhiere a Chile Vamos apenas alcanzó a los $ 4.723 per persona es decir la mitad la Nueva Mayoría.</w:t>
      </w:r>
    </w:p>
    <w:p w:rsidR="000732D8" w:rsidRDefault="000732D8" w:rsidP="007A2F37">
      <w:pPr>
        <w:pStyle w:val="Ttulo2"/>
        <w:spacing w:before="0" w:beforeAutospacing="0" w:after="150" w:afterAutospacing="0"/>
        <w:ind w:left="360"/>
        <w:jc w:val="both"/>
        <w:rPr>
          <w:rFonts w:ascii="Book Antiqua" w:hAnsi="Book Antiqua"/>
          <w:b w:val="0"/>
          <w:sz w:val="22"/>
          <w:szCs w:val="22"/>
          <w:lang w:val="es-CL"/>
        </w:rPr>
      </w:pPr>
      <w:r>
        <w:rPr>
          <w:rFonts w:ascii="Book Antiqua" w:hAnsi="Book Antiqua"/>
          <w:b w:val="0"/>
          <w:sz w:val="22"/>
          <w:szCs w:val="22"/>
          <w:lang w:val="es-CL"/>
        </w:rPr>
        <w:t>5.- Finalmente, al analizar las 10 comunas con más electores del país y si sumamos las comunas catalogadas por ambas coaliciones como emblemáticas, donde se juega el resultado de la próxima elección municipal de este año</w:t>
      </w:r>
      <w:r>
        <w:rPr>
          <w:rStyle w:val="Refdenotaalpie"/>
          <w:rFonts w:ascii="Book Antiqua" w:hAnsi="Book Antiqua"/>
          <w:b w:val="0"/>
          <w:sz w:val="22"/>
          <w:szCs w:val="22"/>
        </w:rPr>
        <w:footnoteReference w:id="7"/>
      </w:r>
      <w:r>
        <w:rPr>
          <w:rFonts w:ascii="Book Antiqua" w:hAnsi="Book Antiqua"/>
          <w:b w:val="0"/>
          <w:sz w:val="22"/>
          <w:szCs w:val="22"/>
          <w:lang w:val="es-CL"/>
        </w:rPr>
        <w:t xml:space="preserve"> , el sesgo político en la asignación de los recursos es aún más evidente. El año 2016 un 90% de los recursos se asignaron a comunas cuyo Alcalde adhiere a la Nueva Mayoría y apenas un 10% de los recursos fueron a comunas cuyo Alcalde adhiere a la Chile Vamos.</w:t>
      </w:r>
    </w:p>
    <w:p w:rsidR="00781624" w:rsidRDefault="00781624" w:rsidP="007A2F37">
      <w:pPr>
        <w:pStyle w:val="Ttulo2"/>
        <w:spacing w:before="0" w:beforeAutospacing="0" w:after="150" w:afterAutospacing="0"/>
        <w:ind w:left="72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BB259B" w:rsidRDefault="00BB259B" w:rsidP="007A2F37">
      <w:pPr>
        <w:pStyle w:val="Ttulo2"/>
        <w:spacing w:before="0" w:beforeAutospacing="0" w:after="150" w:afterAutospacing="0"/>
        <w:ind w:left="72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BB259B" w:rsidRDefault="00BB259B" w:rsidP="00472F03">
      <w:pPr>
        <w:pStyle w:val="Ttulo2"/>
        <w:spacing w:before="0" w:beforeAutospacing="0" w:after="150" w:afterAutospacing="0"/>
        <w:ind w:left="72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BB259B" w:rsidRDefault="00BB259B" w:rsidP="00472F03">
      <w:pPr>
        <w:pStyle w:val="Ttulo2"/>
        <w:spacing w:before="0" w:beforeAutospacing="0" w:after="150" w:afterAutospacing="0"/>
        <w:ind w:left="72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AC5E5F" w:rsidRDefault="00AC5E5F" w:rsidP="00472F03">
      <w:pPr>
        <w:pStyle w:val="Ttulo2"/>
        <w:spacing w:before="0" w:beforeAutospacing="0" w:after="150" w:afterAutospacing="0"/>
        <w:ind w:left="72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BB259B" w:rsidRDefault="00BB259B" w:rsidP="00472F03">
      <w:pPr>
        <w:pStyle w:val="Ttulo2"/>
        <w:spacing w:before="0" w:beforeAutospacing="0" w:after="150" w:afterAutospacing="0"/>
        <w:ind w:left="72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AC5E5F" w:rsidRPr="00781624" w:rsidRDefault="00AC5E5F" w:rsidP="00472F03">
      <w:pPr>
        <w:pStyle w:val="Ttulo2"/>
        <w:spacing w:before="0" w:beforeAutospacing="0" w:after="150" w:afterAutospacing="0"/>
        <w:ind w:left="720"/>
        <w:jc w:val="both"/>
        <w:rPr>
          <w:rFonts w:ascii="Book Antiqua" w:hAnsi="Book Antiqua"/>
          <w:b w:val="0"/>
          <w:sz w:val="22"/>
          <w:szCs w:val="22"/>
          <w:lang w:val="es-CL"/>
        </w:rPr>
      </w:pPr>
    </w:p>
    <w:p w:rsidR="00BB259B" w:rsidRPr="005711E9" w:rsidRDefault="00BB259B" w:rsidP="00472F03">
      <w:pPr>
        <w:pStyle w:val="Prrafodelista"/>
        <w:numPr>
          <w:ilvl w:val="0"/>
          <w:numId w:val="1"/>
        </w:numPr>
        <w:spacing w:after="200" w:line="276" w:lineRule="auto"/>
        <w:jc w:val="center"/>
        <w:rPr>
          <w:rFonts w:ascii="Book Antiqua" w:hAnsi="Book Antiqua"/>
          <w:b/>
          <w:bCs/>
          <w:sz w:val="22"/>
          <w:szCs w:val="22"/>
          <w:u w:val="single"/>
          <w:lang w:eastAsia="es-ES"/>
        </w:rPr>
      </w:pPr>
      <w:r w:rsidRPr="005711E9">
        <w:rPr>
          <w:rFonts w:ascii="Book Antiqua" w:hAnsi="Book Antiqua"/>
          <w:b/>
          <w:bCs/>
          <w:sz w:val="22"/>
          <w:szCs w:val="22"/>
          <w:u w:val="single"/>
          <w:lang w:eastAsia="es-ES"/>
        </w:rPr>
        <w:lastRenderedPageBreak/>
        <w:t>EVOLUCION DE RECURSOS ASIGNADOS (PMU y PMB) A PRINCIPALES COALICIONES (2014-2016)</w:t>
      </w:r>
    </w:p>
    <w:p w:rsidR="00781624" w:rsidRPr="00781624" w:rsidRDefault="00781624" w:rsidP="00781624">
      <w:pPr>
        <w:jc w:val="center"/>
        <w:rPr>
          <w:rFonts w:ascii="Book Antiqua" w:hAnsi="Book Antiqua"/>
          <w:sz w:val="18"/>
        </w:rPr>
      </w:pPr>
      <w:r w:rsidRPr="0078162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D3368" wp14:editId="116A0815">
                <wp:simplePos x="0" y="0"/>
                <wp:positionH relativeFrom="column">
                  <wp:posOffset>4001770</wp:posOffset>
                </wp:positionH>
                <wp:positionV relativeFrom="paragraph">
                  <wp:posOffset>1083945</wp:posOffset>
                </wp:positionV>
                <wp:extent cx="468630" cy="476885"/>
                <wp:effectExtent l="0" t="0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476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1624" w:rsidRDefault="00781624" w:rsidP="007816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7319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6"/>
                              </w:rPr>
                              <w:t>2,5 veces</w:t>
                            </w:r>
                          </w:p>
                        </w:txbxContent>
                      </wps:txbx>
                      <wps:bodyPr vert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3368" id="Rectángulo 12" o:spid="_x0000_s1026" style="position:absolute;left:0;text-align:left;margin-left:315.1pt;margin-top:85.35pt;width:36.9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" filled="f" stroked="f" strokeweight="1pt">
                <v:path arrowok="t"/>
                <v:textbox>
                  <w:txbxContent>
                    <w:p w:rsidR="00781624" w:rsidRDefault="00781624" w:rsidP="007816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87319">
                        <w:rPr>
                          <w:rFonts w:ascii="Book Antiqua" w:hAnsi="Book Antiqua"/>
                          <w:color w:val="000000"/>
                          <w:sz w:val="16"/>
                          <w:szCs w:val="16"/>
                        </w:rPr>
                        <w:t>2,5 veces</w:t>
                      </w:r>
                    </w:p>
                  </w:txbxContent>
                </v:textbox>
              </v:rect>
            </w:pict>
          </mc:Fallback>
        </mc:AlternateContent>
      </w:r>
      <w:r w:rsidRPr="00781624">
        <w:rPr>
          <w:noProof/>
          <w:lang w:val="es-ES" w:eastAsia="es-ES"/>
        </w:rPr>
        <w:drawing>
          <wp:inline distT="0" distB="0" distL="0" distR="0" wp14:anchorId="2BC4D0C4" wp14:editId="3889BF74">
            <wp:extent cx="3067050" cy="2409825"/>
            <wp:effectExtent l="0" t="0" r="0" b="0"/>
            <wp:docPr id="9" name="Gráfic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1624" w:rsidRPr="00781624" w:rsidRDefault="00781624" w:rsidP="00781624">
      <w:pPr>
        <w:jc w:val="center"/>
        <w:rPr>
          <w:rFonts w:ascii="Book Antiqua" w:hAnsi="Book Antiqua"/>
          <w:sz w:val="18"/>
        </w:rPr>
      </w:pPr>
    </w:p>
    <w:p w:rsidR="003820F7" w:rsidRPr="00781624" w:rsidRDefault="003820F7" w:rsidP="003820F7">
      <w:pPr>
        <w:jc w:val="right"/>
        <w:rPr>
          <w:rFonts w:ascii="Book Antiqua" w:hAnsi="Book Antiqua"/>
          <w:sz w:val="18"/>
        </w:rPr>
      </w:pPr>
      <w:r w:rsidRPr="00781624">
        <w:rPr>
          <w:rFonts w:ascii="Book Antiqua" w:hAnsi="Book Antiqua"/>
          <w:sz w:val="18"/>
        </w:rPr>
        <w:t xml:space="preserve">Fuente: Elaboración propia con datos de SINIM. </w:t>
      </w:r>
    </w:p>
    <w:p w:rsidR="00781624" w:rsidRPr="00781624" w:rsidRDefault="00781624" w:rsidP="00781624">
      <w:pPr>
        <w:spacing w:after="200" w:line="276" w:lineRule="auto"/>
        <w:jc w:val="center"/>
        <w:rPr>
          <w:rFonts w:ascii="Book Antiqua" w:hAnsi="Book Antiqua"/>
          <w:b/>
          <w:sz w:val="22"/>
        </w:rPr>
      </w:pPr>
    </w:p>
    <w:p w:rsidR="00BB259B" w:rsidRPr="004F2BD7" w:rsidRDefault="00BB259B" w:rsidP="00BB259B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  <w:r>
        <w:rPr>
          <w:rFonts w:ascii="Book Antiqua" w:hAnsi="Book Antiqua"/>
          <w:sz w:val="22"/>
        </w:rPr>
        <w:t xml:space="preserve">El gráfico </w:t>
      </w:r>
      <w:r w:rsidRPr="004F2BD7">
        <w:rPr>
          <w:rFonts w:ascii="Book Antiqua" w:hAnsi="Book Antiqua"/>
          <w:bCs/>
          <w:sz w:val="22"/>
          <w:szCs w:val="22"/>
          <w:lang w:eastAsia="es-ES"/>
        </w:rPr>
        <w:t xml:space="preserve">muestra </w:t>
      </w:r>
      <w:r>
        <w:rPr>
          <w:rFonts w:ascii="Book Antiqua" w:hAnsi="Book Antiqua"/>
          <w:bCs/>
          <w:sz w:val="22"/>
          <w:szCs w:val="22"/>
          <w:lang w:eastAsia="es-ES"/>
        </w:rPr>
        <w:t>la distribución del total de los recursos los años 2014, 2015 y 2016, donde se comprueba el aumento sostenido de los recursos dirigidos a las comunas cuyos Alcaldes adhieren a la Nueva Mayoría y, por el contrario, el continuo descenso de la asignación de recursos a las comunas cuya máxima autoridad es afín a Chile Vamos.</w:t>
      </w:r>
      <w:r w:rsidRPr="004F2BD7">
        <w:rPr>
          <w:rFonts w:ascii="Book Antiqua" w:hAnsi="Book Antiqua"/>
          <w:bCs/>
          <w:sz w:val="22"/>
          <w:szCs w:val="22"/>
          <w:lang w:eastAsia="es-ES"/>
        </w:rPr>
        <w:t xml:space="preserve"> </w:t>
      </w:r>
    </w:p>
    <w:p w:rsidR="005711E9" w:rsidRDefault="00BB259B" w:rsidP="00BB259B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  <w:r>
        <w:rPr>
          <w:rFonts w:ascii="Book Antiqua" w:hAnsi="Book Antiqua"/>
          <w:bCs/>
          <w:sz w:val="22"/>
          <w:szCs w:val="22"/>
          <w:lang w:eastAsia="es-ES"/>
        </w:rPr>
        <w:t>Cabe resaltar que el 2016 la proporción de los recursos a las comunas cuyo Alcalde es adhiere a la Nueva Mayoría es 2.5 veces superior a la proporción de recursos asignados a comunas cuyo Alcalde es adherente a Chile Vamos.</w:t>
      </w:r>
      <w:r w:rsidRPr="004F2BD7">
        <w:rPr>
          <w:rFonts w:ascii="Book Antiqua" w:hAnsi="Book Antiqua"/>
          <w:bCs/>
          <w:sz w:val="22"/>
          <w:szCs w:val="22"/>
          <w:lang w:eastAsia="es-ES"/>
        </w:rPr>
        <w:t xml:space="preserve"> </w:t>
      </w:r>
    </w:p>
    <w:p w:rsidR="005711E9" w:rsidRPr="004F2BD7" w:rsidRDefault="005711E9" w:rsidP="00BB259B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</w:p>
    <w:p w:rsidR="0048113F" w:rsidRPr="005711E9" w:rsidRDefault="0048113F" w:rsidP="005711E9">
      <w:pPr>
        <w:pStyle w:val="Prrafodelista"/>
        <w:numPr>
          <w:ilvl w:val="0"/>
          <w:numId w:val="1"/>
        </w:numPr>
        <w:spacing w:after="200" w:line="276" w:lineRule="auto"/>
        <w:jc w:val="center"/>
        <w:rPr>
          <w:rFonts w:ascii="Book Antiqua" w:hAnsi="Book Antiqua"/>
          <w:b/>
          <w:sz w:val="22"/>
          <w:u w:val="single"/>
        </w:rPr>
      </w:pPr>
      <w:r w:rsidRPr="005711E9">
        <w:rPr>
          <w:rFonts w:ascii="Book Antiqua" w:hAnsi="Book Antiqua"/>
          <w:b/>
          <w:sz w:val="22"/>
          <w:u w:val="single"/>
        </w:rPr>
        <w:t xml:space="preserve">EVOLUCIÓN DE LOS RECURSOS ASIGNADOS PMB </w:t>
      </w:r>
      <w:r w:rsidR="005711E9">
        <w:rPr>
          <w:rFonts w:ascii="Book Antiqua" w:hAnsi="Book Antiqua"/>
          <w:b/>
          <w:sz w:val="22"/>
          <w:u w:val="single"/>
        </w:rPr>
        <w:t>PARA</w:t>
      </w:r>
      <w:r w:rsidRPr="005711E9">
        <w:rPr>
          <w:rFonts w:ascii="Book Antiqua" w:hAnsi="Book Antiqua"/>
          <w:b/>
          <w:sz w:val="22"/>
          <w:u w:val="single"/>
        </w:rPr>
        <w:t xml:space="preserve"> PRINCIPALES COALICIONES</w:t>
      </w:r>
    </w:p>
    <w:p w:rsidR="0048113F" w:rsidRPr="00032E38" w:rsidRDefault="0048113F" w:rsidP="0048113F">
      <w:pPr>
        <w:jc w:val="center"/>
        <w:rPr>
          <w:noProof/>
          <w:lang w:eastAsia="es-ES"/>
        </w:rPr>
      </w:pPr>
    </w:p>
    <w:p w:rsidR="0048113F" w:rsidRPr="00781624" w:rsidRDefault="0048113F" w:rsidP="0048113F">
      <w:pPr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2576" behindDoc="1" locked="0" layoutInCell="1" allowOverlap="1" wp14:anchorId="16854ABC" wp14:editId="4745CC82">
            <wp:simplePos x="0" y="0"/>
            <wp:positionH relativeFrom="column">
              <wp:posOffset>2910840</wp:posOffset>
            </wp:positionH>
            <wp:positionV relativeFrom="paragraph">
              <wp:posOffset>113664</wp:posOffset>
            </wp:positionV>
            <wp:extent cx="3457575" cy="1971675"/>
            <wp:effectExtent l="0" t="0" r="9525" b="9525"/>
            <wp:wrapNone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 wp14:anchorId="58CAF60F" wp14:editId="5F814447">
            <wp:simplePos x="0" y="0"/>
            <wp:positionH relativeFrom="column">
              <wp:posOffset>-680085</wp:posOffset>
            </wp:positionH>
            <wp:positionV relativeFrom="paragraph">
              <wp:posOffset>113665</wp:posOffset>
            </wp:positionV>
            <wp:extent cx="3409950" cy="1971675"/>
            <wp:effectExtent l="0" t="0" r="0" b="9525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13F" w:rsidRPr="00781624" w:rsidRDefault="0048113F" w:rsidP="0048113F">
      <w:pPr>
        <w:jc w:val="center"/>
        <w:rPr>
          <w:noProof/>
          <w:lang w:val="es-ES" w:eastAsia="es-ES"/>
        </w:rPr>
      </w:pPr>
    </w:p>
    <w:p w:rsidR="0048113F" w:rsidRPr="00781624" w:rsidRDefault="0048113F" w:rsidP="0048113F">
      <w:pPr>
        <w:jc w:val="center"/>
        <w:rPr>
          <w:noProof/>
          <w:lang w:val="es-ES" w:eastAsia="es-ES"/>
        </w:rPr>
      </w:pPr>
    </w:p>
    <w:p w:rsidR="0048113F" w:rsidRPr="00781624" w:rsidRDefault="0048113F" w:rsidP="0048113F">
      <w:pPr>
        <w:jc w:val="center"/>
        <w:rPr>
          <w:noProof/>
          <w:lang w:val="es-ES" w:eastAsia="es-ES"/>
        </w:rPr>
      </w:pPr>
    </w:p>
    <w:p w:rsidR="0048113F" w:rsidRDefault="0048113F" w:rsidP="0048113F">
      <w:pPr>
        <w:jc w:val="center"/>
        <w:rPr>
          <w:rFonts w:ascii="Book Antiqua" w:hAnsi="Book Antiqua"/>
          <w:sz w:val="18"/>
        </w:rPr>
      </w:pPr>
    </w:p>
    <w:p w:rsidR="0048113F" w:rsidRPr="00781624" w:rsidRDefault="0048113F" w:rsidP="0048113F">
      <w:pPr>
        <w:jc w:val="center"/>
        <w:rPr>
          <w:rFonts w:ascii="Book Antiqua" w:hAnsi="Book Antiqua"/>
          <w:sz w:val="18"/>
        </w:rPr>
      </w:pPr>
    </w:p>
    <w:p w:rsidR="0048113F" w:rsidRDefault="0048113F" w:rsidP="0048113F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48113F" w:rsidRDefault="0048113F" w:rsidP="0048113F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48113F" w:rsidRDefault="0048113F" w:rsidP="0048113F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48113F" w:rsidRDefault="0048113F" w:rsidP="0048113F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48113F" w:rsidRDefault="0048113F" w:rsidP="0048113F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48113F" w:rsidRPr="005711E9" w:rsidRDefault="0048113F" w:rsidP="005711E9">
      <w:pPr>
        <w:jc w:val="both"/>
        <w:rPr>
          <w:rFonts w:ascii="Book Antiqua" w:hAnsi="Book Antiqua"/>
          <w:b/>
          <w:sz w:val="22"/>
          <w:szCs w:val="22"/>
        </w:rPr>
      </w:pPr>
    </w:p>
    <w:p w:rsidR="0048113F" w:rsidRPr="00781624" w:rsidRDefault="0048113F" w:rsidP="0048113F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48113F" w:rsidRPr="00781624" w:rsidRDefault="0048113F" w:rsidP="0048113F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48113F" w:rsidRDefault="0048113F" w:rsidP="0048113F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3600" behindDoc="1" locked="0" layoutInCell="1" allowOverlap="1" wp14:anchorId="45856C17" wp14:editId="0638B2AB">
            <wp:simplePos x="0" y="0"/>
            <wp:positionH relativeFrom="column">
              <wp:posOffset>1090930</wp:posOffset>
            </wp:positionH>
            <wp:positionV relativeFrom="paragraph">
              <wp:posOffset>-242570</wp:posOffset>
            </wp:positionV>
            <wp:extent cx="4181475" cy="2419350"/>
            <wp:effectExtent l="0" t="0" r="9525" b="0"/>
            <wp:wrapNone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13F" w:rsidRDefault="0048113F" w:rsidP="0048113F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</w:p>
    <w:p w:rsidR="0048113F" w:rsidRDefault="0048113F" w:rsidP="0048113F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</w:p>
    <w:p w:rsidR="0048113F" w:rsidRDefault="0048113F" w:rsidP="0048113F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</w:p>
    <w:p w:rsidR="0048113F" w:rsidRDefault="0048113F" w:rsidP="0048113F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</w:p>
    <w:p w:rsidR="0048113F" w:rsidRDefault="0048113F" w:rsidP="0048113F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</w:p>
    <w:p w:rsidR="0048113F" w:rsidRDefault="0048113F" w:rsidP="0048113F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</w:p>
    <w:p w:rsidR="0048113F" w:rsidRDefault="0048113F" w:rsidP="0048113F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</w:p>
    <w:p w:rsidR="003820F7" w:rsidRPr="00781624" w:rsidRDefault="003820F7" w:rsidP="003820F7">
      <w:pPr>
        <w:jc w:val="right"/>
        <w:rPr>
          <w:rFonts w:ascii="Book Antiqua" w:hAnsi="Book Antiqua"/>
          <w:sz w:val="18"/>
        </w:rPr>
      </w:pPr>
      <w:r w:rsidRPr="00781624">
        <w:rPr>
          <w:rFonts w:ascii="Book Antiqua" w:hAnsi="Book Antiqua"/>
          <w:sz w:val="18"/>
        </w:rPr>
        <w:t xml:space="preserve">Fuente: Elaboración propia con datos de SINIM. </w:t>
      </w:r>
    </w:p>
    <w:p w:rsidR="003820F7" w:rsidRDefault="003820F7" w:rsidP="0048113F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</w:p>
    <w:p w:rsidR="0048113F" w:rsidRPr="00781624" w:rsidRDefault="0048113F" w:rsidP="0048113F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  <w:r w:rsidRPr="00781624">
        <w:rPr>
          <w:rFonts w:ascii="Book Antiqua" w:hAnsi="Book Antiqua"/>
          <w:bCs/>
          <w:sz w:val="22"/>
          <w:szCs w:val="22"/>
          <w:lang w:eastAsia="es-ES"/>
        </w:rPr>
        <w:t>Los gráficos muestran la distribución del total de los recursos del Programa PMB para los años 2014, 2015 y 2016 donde se aprecia claramente el aumento sostenido de los recursos dirigidos a las comunas cuyos Alcaldes adhieren a la Nueva Mayoría y, por el contrario, el continuo descenso de asignación de recursos a las comunas cuya máxima autoridad es afín a Chile Vamos.</w:t>
      </w:r>
    </w:p>
    <w:p w:rsidR="0048113F" w:rsidRPr="00781624" w:rsidRDefault="0048113F" w:rsidP="0048113F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  <w:r w:rsidRPr="00781624">
        <w:rPr>
          <w:rFonts w:ascii="Book Antiqua" w:hAnsi="Book Antiqua"/>
          <w:bCs/>
          <w:sz w:val="22"/>
          <w:szCs w:val="22"/>
          <w:lang w:eastAsia="es-ES"/>
        </w:rPr>
        <w:t>Cabe resaltar que el año 2016</w:t>
      </w:r>
      <w:r w:rsidR="005711E9">
        <w:rPr>
          <w:rFonts w:ascii="Book Antiqua" w:hAnsi="Book Antiqua"/>
          <w:bCs/>
          <w:sz w:val="22"/>
          <w:szCs w:val="22"/>
          <w:lang w:eastAsia="es-ES"/>
        </w:rPr>
        <w:t>, las comunas gobernadas por Alcaldes adherentes de Chile Vamos, donde vive el 42% de la Población del país solo se le asignó el 17.2% de los recursos. L</w:t>
      </w:r>
      <w:r w:rsidRPr="00781624">
        <w:rPr>
          <w:rFonts w:ascii="Book Antiqua" w:hAnsi="Book Antiqua"/>
          <w:bCs/>
          <w:sz w:val="22"/>
          <w:szCs w:val="22"/>
          <w:lang w:eastAsia="es-ES"/>
        </w:rPr>
        <w:t xml:space="preserve">a proporción de los recursos a las comunas cuyo Alcalde es afín a Chile </w:t>
      </w:r>
      <w:r w:rsidR="005711E9">
        <w:rPr>
          <w:rFonts w:ascii="Book Antiqua" w:hAnsi="Book Antiqua"/>
          <w:bCs/>
          <w:sz w:val="22"/>
          <w:szCs w:val="22"/>
          <w:lang w:eastAsia="es-ES"/>
        </w:rPr>
        <w:t>V</w:t>
      </w:r>
      <w:r w:rsidRPr="00781624">
        <w:rPr>
          <w:rFonts w:ascii="Book Antiqua" w:hAnsi="Book Antiqua"/>
          <w:bCs/>
          <w:sz w:val="22"/>
          <w:szCs w:val="22"/>
          <w:lang w:eastAsia="es-ES"/>
        </w:rPr>
        <w:t xml:space="preserve">amos representa </w:t>
      </w:r>
      <w:r w:rsidR="005711E9">
        <w:rPr>
          <w:rFonts w:ascii="Book Antiqua" w:hAnsi="Book Antiqua"/>
          <w:bCs/>
          <w:sz w:val="22"/>
          <w:szCs w:val="22"/>
          <w:lang w:eastAsia="es-ES"/>
        </w:rPr>
        <w:t>solo el 22</w:t>
      </w:r>
      <w:r w:rsidRPr="00781624">
        <w:rPr>
          <w:rFonts w:ascii="Book Antiqua" w:hAnsi="Book Antiqua"/>
          <w:bCs/>
          <w:sz w:val="22"/>
          <w:szCs w:val="22"/>
          <w:lang w:eastAsia="es-ES"/>
        </w:rPr>
        <w:t xml:space="preserve">% de los recursos totales asignados a comunas cuyo Alcalde es militante o adherente de la Nueva Mayoría. </w:t>
      </w:r>
    </w:p>
    <w:p w:rsidR="00781624" w:rsidRPr="00781624" w:rsidRDefault="00781624" w:rsidP="00781624">
      <w:pPr>
        <w:spacing w:after="200" w:line="276" w:lineRule="auto"/>
        <w:rPr>
          <w:rFonts w:ascii="Book Antiqua" w:hAnsi="Book Antiqua"/>
          <w:b/>
          <w:sz w:val="22"/>
        </w:rPr>
      </w:pPr>
    </w:p>
    <w:p w:rsidR="00781624" w:rsidRPr="005711E9" w:rsidRDefault="00BB259B" w:rsidP="005711E9">
      <w:pPr>
        <w:pStyle w:val="Prrafodelista"/>
        <w:numPr>
          <w:ilvl w:val="0"/>
          <w:numId w:val="1"/>
        </w:numPr>
        <w:spacing w:after="200" w:line="276" w:lineRule="auto"/>
        <w:jc w:val="center"/>
        <w:rPr>
          <w:rFonts w:ascii="Book Antiqua" w:hAnsi="Book Antiqua"/>
          <w:b/>
          <w:sz w:val="22"/>
          <w:u w:val="single"/>
        </w:rPr>
      </w:pPr>
      <w:r w:rsidRPr="005711E9">
        <w:rPr>
          <w:rFonts w:ascii="Book Antiqua" w:hAnsi="Book Antiqua"/>
          <w:b/>
          <w:sz w:val="22"/>
          <w:u w:val="single"/>
        </w:rPr>
        <w:t>EVOLUCIÓN DE LOS RECURSOS ASIGNADOS PMU</w:t>
      </w:r>
      <w:r w:rsidR="00032E38" w:rsidRPr="005711E9">
        <w:rPr>
          <w:rFonts w:ascii="Book Antiqua" w:hAnsi="Book Antiqua"/>
          <w:b/>
          <w:sz w:val="22"/>
          <w:u w:val="single"/>
        </w:rPr>
        <w:t xml:space="preserve"> P</w:t>
      </w:r>
      <w:r w:rsidR="005711E9">
        <w:rPr>
          <w:rFonts w:ascii="Book Antiqua" w:hAnsi="Book Antiqua"/>
          <w:b/>
          <w:sz w:val="22"/>
          <w:u w:val="single"/>
        </w:rPr>
        <w:t>ARA</w:t>
      </w:r>
      <w:r w:rsidR="00032E38" w:rsidRPr="005711E9">
        <w:rPr>
          <w:rFonts w:ascii="Book Antiqua" w:hAnsi="Book Antiqua"/>
          <w:b/>
          <w:sz w:val="22"/>
          <w:u w:val="single"/>
        </w:rPr>
        <w:t xml:space="preserve"> PRINCIPALES COALICIONES</w:t>
      </w:r>
    </w:p>
    <w:p w:rsidR="00781624" w:rsidRPr="00781624" w:rsidRDefault="00032E38" w:rsidP="00781624">
      <w:pPr>
        <w:spacing w:after="200" w:line="276" w:lineRule="auto"/>
        <w:jc w:val="center"/>
        <w:rPr>
          <w:noProof/>
          <w:lang w:val="es-ES" w:eastAsia="es-ES"/>
        </w:rPr>
      </w:pPr>
      <w:r w:rsidRPr="00781624"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5CF80CC1" wp14:editId="330E3B0E">
            <wp:simplePos x="0" y="0"/>
            <wp:positionH relativeFrom="column">
              <wp:posOffset>-422910</wp:posOffset>
            </wp:positionH>
            <wp:positionV relativeFrom="paragraph">
              <wp:posOffset>334010</wp:posOffset>
            </wp:positionV>
            <wp:extent cx="3305175" cy="1809750"/>
            <wp:effectExtent l="0" t="0" r="9525" b="0"/>
            <wp:wrapNone/>
            <wp:docPr id="5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624" w:rsidRPr="00781624" w:rsidRDefault="005711E9" w:rsidP="00781624">
      <w:pPr>
        <w:spacing w:after="200" w:line="276" w:lineRule="auto"/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 wp14:anchorId="46C403C0" wp14:editId="68D0AFEB">
            <wp:simplePos x="0" y="0"/>
            <wp:positionH relativeFrom="column">
              <wp:posOffset>3072765</wp:posOffset>
            </wp:positionH>
            <wp:positionV relativeFrom="paragraph">
              <wp:posOffset>24765</wp:posOffset>
            </wp:positionV>
            <wp:extent cx="3352800" cy="1800225"/>
            <wp:effectExtent l="0" t="0" r="0" b="9525"/>
            <wp:wrapNone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624" w:rsidRPr="00781624" w:rsidRDefault="00781624" w:rsidP="00781624">
      <w:pPr>
        <w:spacing w:after="200" w:line="276" w:lineRule="auto"/>
        <w:jc w:val="center"/>
        <w:rPr>
          <w:rFonts w:ascii="Book Antiqua" w:hAnsi="Book Antiqua"/>
          <w:b/>
          <w:sz w:val="22"/>
        </w:rPr>
      </w:pPr>
    </w:p>
    <w:p w:rsidR="00781624" w:rsidRDefault="00781624" w:rsidP="00781624">
      <w:pPr>
        <w:jc w:val="center"/>
        <w:rPr>
          <w:rFonts w:ascii="Book Antiqua" w:hAnsi="Book Antiqua"/>
          <w:sz w:val="18"/>
        </w:rPr>
      </w:pPr>
    </w:p>
    <w:p w:rsidR="00781624" w:rsidRPr="00781624" w:rsidRDefault="00781624" w:rsidP="00781624">
      <w:pPr>
        <w:jc w:val="center"/>
        <w:rPr>
          <w:rFonts w:ascii="Book Antiqua" w:hAnsi="Book Antiqua"/>
          <w:sz w:val="18"/>
        </w:rPr>
      </w:pPr>
    </w:p>
    <w:p w:rsidR="00781624" w:rsidRDefault="00781624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5711E9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19D1A7E0" wp14:editId="1B21FAA5">
            <wp:simplePos x="0" y="0"/>
            <wp:positionH relativeFrom="margin">
              <wp:align>center</wp:align>
            </wp:positionH>
            <wp:positionV relativeFrom="paragraph">
              <wp:posOffset>-241935</wp:posOffset>
            </wp:positionV>
            <wp:extent cx="3981450" cy="2066925"/>
            <wp:effectExtent l="0" t="0" r="0" b="9525"/>
            <wp:wrapNone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BB259B" w:rsidRDefault="00BB259B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3820F7" w:rsidRPr="00781624" w:rsidRDefault="003820F7" w:rsidP="003820F7">
      <w:pPr>
        <w:jc w:val="right"/>
        <w:rPr>
          <w:rFonts w:ascii="Book Antiqua" w:hAnsi="Book Antiqua"/>
          <w:sz w:val="18"/>
        </w:rPr>
      </w:pPr>
      <w:r w:rsidRPr="00781624">
        <w:rPr>
          <w:rFonts w:ascii="Book Antiqua" w:hAnsi="Book Antiqua"/>
          <w:sz w:val="18"/>
        </w:rPr>
        <w:t xml:space="preserve">Fuente: Elaboración propia con datos de SINIM. </w:t>
      </w:r>
    </w:p>
    <w:p w:rsidR="003820F7" w:rsidRPr="00781624" w:rsidRDefault="003820F7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781624" w:rsidRPr="00781624" w:rsidRDefault="00781624" w:rsidP="00781624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  <w:r w:rsidRPr="00781624">
        <w:rPr>
          <w:rFonts w:ascii="Book Antiqua" w:hAnsi="Book Antiqua"/>
          <w:bCs/>
          <w:sz w:val="22"/>
          <w:szCs w:val="22"/>
          <w:lang w:eastAsia="es-ES"/>
        </w:rPr>
        <w:t>Los Gráficos muestra la distribución del total de los recursos del Programa PMU para los años 2014, 2015 y 2016 donde se aprecia claramente el aumento sostenido de los recursos dirigidos a las comunas cuyos Alcaldes adhieren a la Nueva Mayoría y, por el contrario, el continuo descenso de asignación de recursos a las comunas cuya máxima autoridad es afín a Chile Vamos.</w:t>
      </w:r>
    </w:p>
    <w:p w:rsidR="00781624" w:rsidRPr="00781624" w:rsidRDefault="00781624" w:rsidP="00781624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  <w:r w:rsidRPr="00781624">
        <w:rPr>
          <w:rFonts w:ascii="Book Antiqua" w:hAnsi="Book Antiqua"/>
          <w:bCs/>
          <w:sz w:val="22"/>
          <w:szCs w:val="22"/>
          <w:lang w:eastAsia="es-ES"/>
        </w:rPr>
        <w:t xml:space="preserve">Cabe resaltar que los años 2015 y 2016 la proporción de los recursos a las comunas cuyo Alcalde es afín a Chile vamos representa prácticamente al 50% menos de los recursos totales asignados a comunas cuyo Alcalde es militante o adherente de la Nueva Mayoría. </w:t>
      </w:r>
    </w:p>
    <w:p w:rsidR="00781624" w:rsidRPr="00781624" w:rsidRDefault="00781624" w:rsidP="00781624">
      <w:pPr>
        <w:spacing w:after="200" w:line="276" w:lineRule="auto"/>
        <w:rPr>
          <w:rFonts w:ascii="Book Antiqua" w:hAnsi="Book Antiqua"/>
          <w:b/>
          <w:sz w:val="22"/>
        </w:rPr>
      </w:pPr>
    </w:p>
    <w:p w:rsidR="00781624" w:rsidRPr="00781624" w:rsidRDefault="00781624" w:rsidP="00781624">
      <w:pPr>
        <w:pStyle w:val="Prrafodelista"/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781624" w:rsidRPr="005711E9" w:rsidRDefault="005711E9" w:rsidP="005711E9">
      <w:pPr>
        <w:pStyle w:val="Prrafodelista"/>
        <w:numPr>
          <w:ilvl w:val="0"/>
          <w:numId w:val="1"/>
        </w:numPr>
        <w:spacing w:after="200" w:line="276" w:lineRule="auto"/>
        <w:jc w:val="center"/>
        <w:rPr>
          <w:rFonts w:ascii="Book Antiqua" w:hAnsi="Book Antiqua"/>
          <w:b/>
          <w:sz w:val="22"/>
          <w:u w:val="single"/>
        </w:rPr>
      </w:pPr>
      <w:r w:rsidRPr="005711E9">
        <w:rPr>
          <w:rFonts w:ascii="Book Antiqua" w:hAnsi="Book Antiqua"/>
          <w:b/>
          <w:sz w:val="22"/>
          <w:u w:val="single"/>
        </w:rPr>
        <w:t xml:space="preserve">GASTO TOTAL </w:t>
      </w:r>
      <w:r>
        <w:rPr>
          <w:rFonts w:ascii="Book Antiqua" w:hAnsi="Book Antiqua"/>
          <w:b/>
          <w:sz w:val="22"/>
          <w:u w:val="single"/>
        </w:rPr>
        <w:t xml:space="preserve">PER CÁPITA </w:t>
      </w:r>
      <w:r w:rsidR="0048113F" w:rsidRPr="005711E9">
        <w:rPr>
          <w:rFonts w:ascii="Book Antiqua" w:hAnsi="Book Antiqua"/>
          <w:b/>
          <w:sz w:val="22"/>
          <w:u w:val="single"/>
        </w:rPr>
        <w:t>PMU Y PMB AL AÑO</w:t>
      </w:r>
      <w:r>
        <w:rPr>
          <w:rFonts w:ascii="Book Antiqua" w:hAnsi="Book Antiqua"/>
          <w:b/>
          <w:sz w:val="22"/>
          <w:u w:val="single"/>
        </w:rPr>
        <w:t>,</w:t>
      </w:r>
      <w:r w:rsidR="0048113F" w:rsidRPr="005711E9">
        <w:rPr>
          <w:rFonts w:ascii="Book Antiqua" w:hAnsi="Book Antiqua"/>
          <w:b/>
          <w:sz w:val="22"/>
          <w:u w:val="single"/>
        </w:rPr>
        <w:t xml:space="preserve"> EN COMUNAS CON ALCALDES DE LA NUEVA MAYORÍA Y DE CHILE VAMOS </w:t>
      </w:r>
      <w:r>
        <w:rPr>
          <w:rFonts w:ascii="Book Antiqua" w:hAnsi="Book Antiqua"/>
          <w:b/>
          <w:sz w:val="22"/>
          <w:u w:val="single"/>
        </w:rPr>
        <w:t xml:space="preserve">                             </w:t>
      </w:r>
      <w:proofErr w:type="gramStart"/>
      <w:r>
        <w:rPr>
          <w:rFonts w:ascii="Book Antiqua" w:hAnsi="Book Antiqua"/>
          <w:b/>
          <w:sz w:val="22"/>
          <w:u w:val="single"/>
        </w:rPr>
        <w:t xml:space="preserve">   </w:t>
      </w:r>
      <w:r w:rsidR="0048113F" w:rsidRPr="005711E9">
        <w:rPr>
          <w:rFonts w:ascii="Book Antiqua" w:hAnsi="Book Antiqua"/>
          <w:b/>
          <w:sz w:val="22"/>
          <w:u w:val="single"/>
        </w:rPr>
        <w:t>(</w:t>
      </w:r>
      <w:proofErr w:type="gramEnd"/>
      <w:r w:rsidR="0048113F" w:rsidRPr="005711E9">
        <w:rPr>
          <w:rFonts w:ascii="Book Antiqua" w:hAnsi="Book Antiqua"/>
          <w:b/>
          <w:sz w:val="22"/>
          <w:u w:val="single"/>
        </w:rPr>
        <w:t>$ POR PERSONA)</w:t>
      </w:r>
    </w:p>
    <w:p w:rsidR="00781624" w:rsidRPr="003820F7" w:rsidRDefault="0048113F" w:rsidP="003820F7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752850" cy="22669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co personas v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624" w:rsidRPr="00781624">
        <w:rPr>
          <w:rFonts w:ascii="Book Antiqua" w:hAnsi="Book Antiqua"/>
          <w:sz w:val="18"/>
        </w:rPr>
        <w:t xml:space="preserve">. </w:t>
      </w:r>
    </w:p>
    <w:p w:rsidR="00781624" w:rsidRPr="00781624" w:rsidRDefault="00781624" w:rsidP="00781624">
      <w:pPr>
        <w:ind w:left="6372" w:firstLine="708"/>
        <w:rPr>
          <w:rFonts w:ascii="Book Antiqua" w:hAnsi="Book Antiqua"/>
          <w:sz w:val="18"/>
        </w:rPr>
      </w:pPr>
    </w:p>
    <w:p w:rsidR="0048113F" w:rsidRDefault="0048113F" w:rsidP="0048113F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  <w:r>
        <w:rPr>
          <w:rFonts w:ascii="Book Antiqua" w:hAnsi="Book Antiqua"/>
          <w:bCs/>
          <w:sz w:val="22"/>
          <w:szCs w:val="22"/>
          <w:lang w:eastAsia="es-ES"/>
        </w:rPr>
        <w:lastRenderedPageBreak/>
        <w:t xml:space="preserve">El gráfico </w:t>
      </w:r>
      <w:r w:rsidRPr="004F2BD7">
        <w:rPr>
          <w:rFonts w:ascii="Book Antiqua" w:hAnsi="Book Antiqua"/>
          <w:bCs/>
          <w:sz w:val="22"/>
          <w:szCs w:val="22"/>
          <w:lang w:eastAsia="es-ES"/>
        </w:rPr>
        <w:t xml:space="preserve">muestra </w:t>
      </w:r>
      <w:r>
        <w:rPr>
          <w:rFonts w:ascii="Book Antiqua" w:hAnsi="Book Antiqua"/>
          <w:bCs/>
          <w:sz w:val="22"/>
          <w:szCs w:val="22"/>
          <w:lang w:eastAsia="es-ES"/>
        </w:rPr>
        <w:t>una comparación entre distribución del total de los recursos de los Programas PMU y PMB entre 2014 y el año electoral 2016.</w:t>
      </w:r>
    </w:p>
    <w:p w:rsidR="0048113F" w:rsidRPr="007F1A97" w:rsidRDefault="0048113F" w:rsidP="0048113F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  <w:r>
        <w:rPr>
          <w:rFonts w:ascii="Book Antiqua" w:hAnsi="Book Antiqua"/>
          <w:bCs/>
          <w:sz w:val="22"/>
          <w:szCs w:val="22"/>
          <w:lang w:eastAsia="es-ES"/>
        </w:rPr>
        <w:t>En él es posible apreciar que tras un equilibrio relativo de la inversión per cápita el año 2014, el año 2016, esta proporcionalidad se ve d</w:t>
      </w:r>
      <w:r w:rsidRPr="007F1A97">
        <w:rPr>
          <w:rFonts w:ascii="Book Antiqua" w:hAnsi="Book Antiqua"/>
          <w:bCs/>
          <w:sz w:val="22"/>
          <w:szCs w:val="22"/>
          <w:lang w:eastAsia="es-ES"/>
        </w:rPr>
        <w:t>rá</w:t>
      </w:r>
      <w:r>
        <w:rPr>
          <w:rFonts w:ascii="Book Antiqua" w:hAnsi="Book Antiqua"/>
          <w:bCs/>
          <w:sz w:val="22"/>
          <w:szCs w:val="22"/>
          <w:lang w:eastAsia="es-ES"/>
        </w:rPr>
        <w:t>sticamente alterada ya que la inversión per cápita en las comunas cuyo Alcalde es afín a Chile Vamos representa un 50% menos que la inversión por persona en las comunas cuyo alcalde es adherente o militante de la Nueva Mayoría.</w:t>
      </w:r>
    </w:p>
    <w:p w:rsidR="00781624" w:rsidRPr="00781624" w:rsidRDefault="00781624" w:rsidP="00781624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</w:p>
    <w:p w:rsidR="00781624" w:rsidRPr="005711E9" w:rsidRDefault="0048113F" w:rsidP="005711E9">
      <w:pPr>
        <w:pStyle w:val="Prrafodelista"/>
        <w:numPr>
          <w:ilvl w:val="0"/>
          <w:numId w:val="1"/>
        </w:numPr>
        <w:spacing w:after="200" w:line="276" w:lineRule="auto"/>
        <w:jc w:val="center"/>
        <w:rPr>
          <w:rFonts w:ascii="Book Antiqua" w:hAnsi="Book Antiqua"/>
          <w:b/>
          <w:sz w:val="22"/>
          <w:u w:val="single"/>
        </w:rPr>
      </w:pPr>
      <w:r w:rsidRPr="005711E9">
        <w:rPr>
          <w:rFonts w:ascii="Book Antiqua" w:hAnsi="Book Antiqua"/>
          <w:b/>
          <w:sz w:val="22"/>
          <w:u w:val="single"/>
        </w:rPr>
        <w:t>RECURSOS ASIGNADOS A 17 COMUNAS DONDE LAS COALICIONES SE JUEGAN LA ELECCIÓN MUNICIPAL</w:t>
      </w:r>
    </w:p>
    <w:p w:rsidR="00781624" w:rsidRPr="00781624" w:rsidRDefault="00781624" w:rsidP="0048113F">
      <w:pPr>
        <w:spacing w:after="200" w:line="276" w:lineRule="auto"/>
        <w:ind w:left="720"/>
        <w:jc w:val="both"/>
        <w:rPr>
          <w:rFonts w:ascii="Book Antiqua" w:hAnsi="Book Antiqua"/>
          <w:b/>
          <w:sz w:val="22"/>
        </w:rPr>
      </w:pPr>
    </w:p>
    <w:tbl>
      <w:tblPr>
        <w:tblW w:w="7215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781624" w:rsidRPr="00781624" w:rsidTr="00781624">
        <w:trPr>
          <w:trHeight w:val="255"/>
          <w:jc w:val="center"/>
        </w:trPr>
        <w:tc>
          <w:tcPr>
            <w:tcW w:w="24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noWrap/>
          </w:tcPr>
          <w:p w:rsidR="00781624" w:rsidRPr="009F4965" w:rsidRDefault="00781624" w:rsidP="0026282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9F4965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COMUNAS EMPLEMATICAS</w:t>
            </w:r>
          </w:p>
        </w:tc>
        <w:tc>
          <w:tcPr>
            <w:tcW w:w="240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bottom"/>
          </w:tcPr>
          <w:p w:rsidR="003820F7" w:rsidRDefault="003820F7" w:rsidP="0026282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NUMERO DE </w:t>
            </w:r>
          </w:p>
          <w:p w:rsidR="00781624" w:rsidRPr="009F4965" w:rsidRDefault="00532546" w:rsidP="0026282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9F4965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ELECTORES</w:t>
            </w:r>
          </w:p>
        </w:tc>
        <w:tc>
          <w:tcPr>
            <w:tcW w:w="240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3820F7" w:rsidRDefault="00532546" w:rsidP="003820F7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9F4965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RECURSOS</w:t>
            </w:r>
          </w:p>
          <w:p w:rsidR="00781624" w:rsidRPr="009F4965" w:rsidRDefault="003820F7" w:rsidP="003820F7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ASIGNADOS</w:t>
            </w: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DEEAF6" w:themeFill="accent1" w:themeFillTint="33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Antofagasta</w:t>
            </w:r>
          </w:p>
        </w:tc>
        <w:tc>
          <w:tcPr>
            <w:tcW w:w="2405" w:type="dxa"/>
            <w:shd w:val="clear" w:color="auto" w:fill="DEEAF6" w:themeFill="accent1" w:themeFillTint="33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sz w:val="20"/>
                <w:szCs w:val="20"/>
              </w:rPr>
              <w:t>259.877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FF5050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Concepción</w:t>
            </w:r>
          </w:p>
        </w:tc>
        <w:tc>
          <w:tcPr>
            <w:tcW w:w="2405" w:type="dxa"/>
            <w:shd w:val="clear" w:color="auto" w:fill="FF5050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198.945</w:t>
            </w:r>
          </w:p>
        </w:tc>
        <w:tc>
          <w:tcPr>
            <w:tcW w:w="2405" w:type="dxa"/>
            <w:shd w:val="clear" w:color="auto" w:fill="FF5050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$ 111.293.643 </w:t>
            </w: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FF5050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Huechuraba</w:t>
            </w:r>
          </w:p>
        </w:tc>
        <w:tc>
          <w:tcPr>
            <w:tcW w:w="2405" w:type="dxa"/>
            <w:shd w:val="clear" w:color="auto" w:fill="FF5050"/>
            <w:vAlign w:val="bottom"/>
          </w:tcPr>
          <w:p w:rsidR="00532546" w:rsidRPr="009F4965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9F4965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66.639</w:t>
            </w:r>
          </w:p>
        </w:tc>
        <w:tc>
          <w:tcPr>
            <w:tcW w:w="2405" w:type="dxa"/>
            <w:shd w:val="clear" w:color="auto" w:fill="FF5050"/>
          </w:tcPr>
          <w:p w:rsidR="00532546" w:rsidRPr="009F4965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9F4965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 xml:space="preserve">          $ 236.003.091 </w:t>
            </w: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DEEAF6" w:themeFill="accent1" w:themeFillTint="33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La Florida</w:t>
            </w:r>
          </w:p>
        </w:tc>
        <w:tc>
          <w:tcPr>
            <w:tcW w:w="2405" w:type="dxa"/>
            <w:shd w:val="clear" w:color="auto" w:fill="DEEAF6" w:themeFill="accent1" w:themeFillTint="33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299.981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$ 59.950.000 </w:t>
            </w: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FF5050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La Reina</w:t>
            </w:r>
          </w:p>
        </w:tc>
        <w:tc>
          <w:tcPr>
            <w:tcW w:w="2405" w:type="dxa"/>
            <w:shd w:val="clear" w:color="auto" w:fill="FF5050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90.051</w:t>
            </w:r>
          </w:p>
        </w:tc>
        <w:tc>
          <w:tcPr>
            <w:tcW w:w="2405" w:type="dxa"/>
            <w:shd w:val="clear" w:color="auto" w:fill="FF5050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$ 288.554.660 </w:t>
            </w: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DEEAF6" w:themeFill="accent1" w:themeFillTint="33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Las Condes</w:t>
            </w:r>
          </w:p>
        </w:tc>
        <w:tc>
          <w:tcPr>
            <w:tcW w:w="2405" w:type="dxa"/>
            <w:shd w:val="clear" w:color="auto" w:fill="DEEAF6" w:themeFill="accent1" w:themeFillTint="33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246.490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DEEAF6" w:themeFill="accent1" w:themeFillTint="33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Maipú</w:t>
            </w:r>
          </w:p>
        </w:tc>
        <w:tc>
          <w:tcPr>
            <w:tcW w:w="2405" w:type="dxa"/>
            <w:shd w:val="clear" w:color="auto" w:fill="DEEAF6" w:themeFill="accent1" w:themeFillTint="33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370.098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DEEAF6" w:themeFill="accent1" w:themeFillTint="33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Ñuñoa</w:t>
            </w:r>
          </w:p>
        </w:tc>
        <w:tc>
          <w:tcPr>
            <w:tcW w:w="2405" w:type="dxa"/>
            <w:shd w:val="clear" w:color="auto" w:fill="DEEAF6" w:themeFill="accent1" w:themeFillTint="33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182.362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$ 49.932.694 </w:t>
            </w: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FF5050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Providencia</w:t>
            </w:r>
          </w:p>
        </w:tc>
        <w:tc>
          <w:tcPr>
            <w:tcW w:w="2405" w:type="dxa"/>
            <w:shd w:val="clear" w:color="auto" w:fill="FF5050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163.008</w:t>
            </w:r>
          </w:p>
        </w:tc>
        <w:tc>
          <w:tcPr>
            <w:tcW w:w="2405" w:type="dxa"/>
            <w:shd w:val="clear" w:color="auto" w:fill="FF5050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$ 207.796.543 </w:t>
            </w: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DEEAF6" w:themeFill="accent1" w:themeFillTint="33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Puente Alto</w:t>
            </w:r>
          </w:p>
        </w:tc>
        <w:tc>
          <w:tcPr>
            <w:tcW w:w="2405" w:type="dxa"/>
            <w:shd w:val="clear" w:color="auto" w:fill="DEEAF6" w:themeFill="accent1" w:themeFillTint="33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374.596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FF5050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Puerto Montt</w:t>
            </w:r>
          </w:p>
        </w:tc>
        <w:tc>
          <w:tcPr>
            <w:tcW w:w="2405" w:type="dxa"/>
            <w:shd w:val="clear" w:color="auto" w:fill="FF5050"/>
            <w:vAlign w:val="bottom"/>
          </w:tcPr>
          <w:p w:rsidR="00532546" w:rsidRPr="009F4965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9F4965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171.155</w:t>
            </w:r>
          </w:p>
        </w:tc>
        <w:tc>
          <w:tcPr>
            <w:tcW w:w="2405" w:type="dxa"/>
            <w:shd w:val="clear" w:color="auto" w:fill="FF5050"/>
          </w:tcPr>
          <w:p w:rsidR="00532546" w:rsidRPr="009F4965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9F4965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 xml:space="preserve">          $ 444.544.513 </w:t>
            </w: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FF5050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Recoleta</w:t>
            </w:r>
          </w:p>
        </w:tc>
        <w:tc>
          <w:tcPr>
            <w:tcW w:w="2405" w:type="dxa"/>
            <w:shd w:val="clear" w:color="auto" w:fill="FF5050"/>
            <w:vAlign w:val="bottom"/>
          </w:tcPr>
          <w:p w:rsidR="00532546" w:rsidRPr="009F4965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9F4965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140.757</w:t>
            </w:r>
          </w:p>
        </w:tc>
        <w:tc>
          <w:tcPr>
            <w:tcW w:w="2405" w:type="dxa"/>
            <w:shd w:val="clear" w:color="auto" w:fill="FF5050"/>
          </w:tcPr>
          <w:p w:rsidR="00532546" w:rsidRPr="009F4965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9F4965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 xml:space="preserve">          $ 409.141.291 </w:t>
            </w:r>
          </w:p>
        </w:tc>
      </w:tr>
      <w:tr w:rsidR="00532546" w:rsidRPr="00781624" w:rsidTr="00781624">
        <w:trPr>
          <w:trHeight w:val="255"/>
          <w:jc w:val="center"/>
        </w:trPr>
        <w:tc>
          <w:tcPr>
            <w:tcW w:w="2405" w:type="dxa"/>
            <w:shd w:val="clear" w:color="auto" w:fill="D9E2F3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San Bernardo</w:t>
            </w:r>
          </w:p>
        </w:tc>
        <w:tc>
          <w:tcPr>
            <w:tcW w:w="2405" w:type="dxa"/>
            <w:shd w:val="clear" w:color="auto" w:fill="D9E2F3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218.593</w:t>
            </w:r>
          </w:p>
        </w:tc>
        <w:tc>
          <w:tcPr>
            <w:tcW w:w="2405" w:type="dxa"/>
            <w:shd w:val="clear" w:color="auto" w:fill="D9E2F3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FF5050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Santiago</w:t>
            </w:r>
          </w:p>
        </w:tc>
        <w:tc>
          <w:tcPr>
            <w:tcW w:w="2405" w:type="dxa"/>
            <w:shd w:val="clear" w:color="auto" w:fill="FF5050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302.537</w:t>
            </w:r>
          </w:p>
        </w:tc>
        <w:tc>
          <w:tcPr>
            <w:tcW w:w="2405" w:type="dxa"/>
            <w:shd w:val="clear" w:color="auto" w:fill="FF5050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$ 402.522.940 </w:t>
            </w: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DEEAF6" w:themeFill="accent1" w:themeFillTint="33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Temuco</w:t>
            </w:r>
          </w:p>
        </w:tc>
        <w:tc>
          <w:tcPr>
            <w:tcW w:w="2405" w:type="dxa"/>
            <w:shd w:val="clear" w:color="auto" w:fill="DEEAF6" w:themeFill="accent1" w:themeFillTint="33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225.132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$ </w:t>
            </w:r>
            <w:r w:rsidRPr="007816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134.451.310</w:t>
            </w: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DEEAF6" w:themeFill="accent1" w:themeFillTint="33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Valparaíso</w:t>
            </w:r>
          </w:p>
        </w:tc>
        <w:tc>
          <w:tcPr>
            <w:tcW w:w="2405" w:type="dxa"/>
            <w:shd w:val="clear" w:color="auto" w:fill="DEEAF6" w:themeFill="accent1" w:themeFillTint="33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284.195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2546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DEEAF6" w:themeFill="accent1" w:themeFillTint="33"/>
            <w:noWrap/>
            <w:hideMark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Viña del Mar</w:t>
            </w:r>
          </w:p>
        </w:tc>
        <w:tc>
          <w:tcPr>
            <w:tcW w:w="2405" w:type="dxa"/>
            <w:shd w:val="clear" w:color="auto" w:fill="DEEAF6" w:themeFill="accent1" w:themeFillTint="33"/>
            <w:vAlign w:val="bottom"/>
          </w:tcPr>
          <w:p w:rsidR="00532546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294.904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532546" w:rsidRPr="00781624" w:rsidRDefault="00532546" w:rsidP="005325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81624" w:rsidRPr="00781624" w:rsidTr="009F4965">
        <w:trPr>
          <w:trHeight w:val="255"/>
          <w:jc w:val="center"/>
        </w:trPr>
        <w:tc>
          <w:tcPr>
            <w:tcW w:w="2405" w:type="dxa"/>
            <w:shd w:val="clear" w:color="auto" w:fill="DEEAF6" w:themeFill="accent1" w:themeFillTint="33"/>
            <w:noWrap/>
          </w:tcPr>
          <w:p w:rsidR="00781624" w:rsidRPr="00781624" w:rsidRDefault="00781624" w:rsidP="002628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781624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2405" w:type="dxa"/>
            <w:shd w:val="clear" w:color="auto" w:fill="DEEAF6" w:themeFill="accent1" w:themeFillTint="33"/>
            <w:vAlign w:val="bottom"/>
          </w:tcPr>
          <w:p w:rsidR="00781624" w:rsidRPr="00532546" w:rsidRDefault="00532546" w:rsidP="0053254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3.889.320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781624" w:rsidRPr="00532546" w:rsidRDefault="00532546" w:rsidP="0053254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5325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Pr="0053254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2.344.190.685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C585E" w:rsidRDefault="001C585E" w:rsidP="005711E9">
      <w:pPr>
        <w:spacing w:after="200" w:line="276" w:lineRule="auto"/>
        <w:jc w:val="both"/>
        <w:rPr>
          <w:rFonts w:ascii="Book Antiqua" w:hAnsi="Book Antiqua"/>
          <w:b/>
          <w:sz w:val="22"/>
        </w:rPr>
      </w:pPr>
    </w:p>
    <w:tbl>
      <w:tblPr>
        <w:tblStyle w:val="Tabladecuadrcula4-nfasis1"/>
        <w:tblW w:w="7933" w:type="dxa"/>
        <w:jc w:val="center"/>
        <w:tblLook w:val="04A0" w:firstRow="1" w:lastRow="0" w:firstColumn="1" w:lastColumn="0" w:noHBand="0" w:noVBand="1"/>
      </w:tblPr>
      <w:tblGrid>
        <w:gridCol w:w="1720"/>
        <w:gridCol w:w="1540"/>
        <w:gridCol w:w="1480"/>
        <w:gridCol w:w="1776"/>
        <w:gridCol w:w="1417"/>
      </w:tblGrid>
      <w:tr w:rsidR="001C585E" w:rsidRPr="001C585E" w:rsidTr="00571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1C585E" w:rsidRPr="001C585E" w:rsidRDefault="001C585E" w:rsidP="001C585E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noWrap/>
            <w:hideMark/>
          </w:tcPr>
          <w:p w:rsidR="001C585E" w:rsidRPr="001C585E" w:rsidRDefault="001C585E" w:rsidP="001C5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1C585E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N° </w:t>
            </w:r>
            <w:r>
              <w:rPr>
                <w:rFonts w:ascii="Calibri" w:hAnsi="Calibri"/>
                <w:sz w:val="20"/>
                <w:szCs w:val="20"/>
                <w:lang w:val="es-ES" w:eastAsia="es-ES"/>
              </w:rPr>
              <w:t>ELECTORES</w:t>
            </w:r>
          </w:p>
        </w:tc>
        <w:tc>
          <w:tcPr>
            <w:tcW w:w="1480" w:type="dxa"/>
            <w:noWrap/>
            <w:hideMark/>
          </w:tcPr>
          <w:p w:rsidR="001C585E" w:rsidRPr="001C585E" w:rsidRDefault="001C585E" w:rsidP="001C5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1C585E">
              <w:rPr>
                <w:rFonts w:ascii="Calibri" w:hAnsi="Calibri"/>
                <w:sz w:val="20"/>
                <w:szCs w:val="20"/>
                <w:lang w:val="es-ES" w:eastAsia="es-ES"/>
              </w:rPr>
              <w:t>% PROYECTOS</w:t>
            </w:r>
          </w:p>
        </w:tc>
        <w:tc>
          <w:tcPr>
            <w:tcW w:w="1776" w:type="dxa"/>
            <w:noWrap/>
            <w:hideMark/>
          </w:tcPr>
          <w:p w:rsidR="001C585E" w:rsidRPr="001C585E" w:rsidRDefault="001C585E" w:rsidP="001C5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1C585E">
              <w:rPr>
                <w:rFonts w:ascii="Calibri" w:hAnsi="Calibri"/>
                <w:sz w:val="20"/>
                <w:szCs w:val="20"/>
                <w:lang w:val="es-ES" w:eastAsia="es-ES"/>
              </w:rPr>
              <w:t>RECURSOS</w:t>
            </w:r>
          </w:p>
        </w:tc>
        <w:tc>
          <w:tcPr>
            <w:tcW w:w="1417" w:type="dxa"/>
            <w:noWrap/>
            <w:hideMark/>
          </w:tcPr>
          <w:p w:rsidR="001C585E" w:rsidRPr="001C585E" w:rsidRDefault="001C585E" w:rsidP="001C5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1C585E">
              <w:rPr>
                <w:rFonts w:ascii="Calibri" w:hAnsi="Calibri"/>
                <w:sz w:val="20"/>
                <w:szCs w:val="20"/>
                <w:lang w:val="es-ES" w:eastAsia="es-ES"/>
              </w:rPr>
              <w:t>% RECURSOS</w:t>
            </w:r>
          </w:p>
        </w:tc>
      </w:tr>
      <w:tr w:rsidR="001C585E" w:rsidRPr="001C585E" w:rsidTr="00571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1C585E" w:rsidRPr="001C585E" w:rsidRDefault="001C585E" w:rsidP="001C585E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1C585E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NUEVA MAYORIA</w:t>
            </w:r>
          </w:p>
        </w:tc>
        <w:tc>
          <w:tcPr>
            <w:tcW w:w="1540" w:type="dxa"/>
            <w:noWrap/>
            <w:hideMark/>
          </w:tcPr>
          <w:p w:rsidR="001C585E" w:rsidRDefault="001C585E" w:rsidP="001C58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5711E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503</w:t>
            </w:r>
            <w:r w:rsidR="005711E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0" w:type="dxa"/>
            <w:noWrap/>
            <w:hideMark/>
          </w:tcPr>
          <w:p w:rsidR="001C585E" w:rsidRDefault="001C585E" w:rsidP="001C58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38,6</w:t>
            </w:r>
            <w:r w:rsidR="005711E9">
              <w:rPr>
                <w:rFonts w:ascii="Calibri" w:hAnsi="Calibr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776" w:type="dxa"/>
            <w:noWrap/>
            <w:hideMark/>
          </w:tcPr>
          <w:p w:rsidR="001C585E" w:rsidRPr="001C585E" w:rsidRDefault="005711E9" w:rsidP="00571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$</w:t>
            </w:r>
            <w:r w:rsidR="001C585E" w:rsidRPr="001C585E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2.099.856.681</w:t>
            </w:r>
          </w:p>
        </w:tc>
        <w:tc>
          <w:tcPr>
            <w:tcW w:w="1417" w:type="dxa"/>
            <w:noWrap/>
            <w:hideMark/>
          </w:tcPr>
          <w:p w:rsidR="001C585E" w:rsidRPr="001C585E" w:rsidRDefault="001C585E" w:rsidP="001C58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1C585E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89,58</w:t>
            </w:r>
            <w:r w:rsidR="005711E9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% </w:t>
            </w:r>
          </w:p>
        </w:tc>
      </w:tr>
      <w:tr w:rsidR="001C585E" w:rsidRPr="001C585E" w:rsidTr="005711E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1C585E" w:rsidRPr="001C585E" w:rsidRDefault="001C585E" w:rsidP="001C585E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1C585E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CHILEVAMOS</w:t>
            </w:r>
          </w:p>
        </w:tc>
        <w:tc>
          <w:tcPr>
            <w:tcW w:w="1540" w:type="dxa"/>
            <w:noWrap/>
            <w:hideMark/>
          </w:tcPr>
          <w:p w:rsidR="001C585E" w:rsidRDefault="001C585E" w:rsidP="001C5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5711E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386</w:t>
            </w:r>
            <w:r w:rsidR="005711E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80" w:type="dxa"/>
            <w:noWrap/>
            <w:hideMark/>
          </w:tcPr>
          <w:p w:rsidR="001C585E" w:rsidRDefault="001C585E" w:rsidP="001C5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61,4</w:t>
            </w:r>
            <w:r w:rsidR="005711E9">
              <w:rPr>
                <w:rFonts w:ascii="Calibri" w:hAnsi="Calibri"/>
                <w:color w:val="000000"/>
                <w:sz w:val="20"/>
                <w:szCs w:val="20"/>
              </w:rPr>
              <w:t xml:space="preserve"> % </w:t>
            </w:r>
          </w:p>
        </w:tc>
        <w:tc>
          <w:tcPr>
            <w:tcW w:w="1776" w:type="dxa"/>
            <w:noWrap/>
            <w:hideMark/>
          </w:tcPr>
          <w:p w:rsidR="001C585E" w:rsidRPr="001C585E" w:rsidRDefault="005711E9" w:rsidP="00571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$ </w:t>
            </w:r>
            <w:r w:rsidR="001C585E" w:rsidRPr="001C585E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244.334.004</w:t>
            </w:r>
          </w:p>
        </w:tc>
        <w:tc>
          <w:tcPr>
            <w:tcW w:w="1417" w:type="dxa"/>
            <w:noWrap/>
            <w:hideMark/>
          </w:tcPr>
          <w:p w:rsidR="001C585E" w:rsidRPr="001C585E" w:rsidRDefault="001C585E" w:rsidP="001C5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1C585E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10,42</w:t>
            </w:r>
            <w:r w:rsidR="005711E9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% </w:t>
            </w:r>
          </w:p>
        </w:tc>
      </w:tr>
      <w:tr w:rsidR="001C585E" w:rsidRPr="001C585E" w:rsidTr="00571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1C585E" w:rsidRPr="001C585E" w:rsidRDefault="001C585E" w:rsidP="001C585E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1C585E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540" w:type="dxa"/>
            <w:noWrap/>
            <w:hideMark/>
          </w:tcPr>
          <w:p w:rsidR="001C585E" w:rsidRPr="001C585E" w:rsidRDefault="005711E9" w:rsidP="001C58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3.889.320</w:t>
            </w:r>
          </w:p>
        </w:tc>
        <w:tc>
          <w:tcPr>
            <w:tcW w:w="1480" w:type="dxa"/>
            <w:noWrap/>
            <w:hideMark/>
          </w:tcPr>
          <w:p w:rsidR="001C585E" w:rsidRPr="001C585E" w:rsidRDefault="001C585E" w:rsidP="001C5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1C585E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76" w:type="dxa"/>
            <w:noWrap/>
            <w:hideMark/>
          </w:tcPr>
          <w:p w:rsidR="001C585E" w:rsidRPr="001C585E" w:rsidRDefault="005711E9" w:rsidP="00571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$ </w:t>
            </w:r>
            <w:r w:rsidR="001C585E" w:rsidRPr="001C585E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2.344.190.685</w:t>
            </w:r>
          </w:p>
        </w:tc>
        <w:tc>
          <w:tcPr>
            <w:tcW w:w="1417" w:type="dxa"/>
            <w:noWrap/>
            <w:hideMark/>
          </w:tcPr>
          <w:p w:rsidR="001C585E" w:rsidRPr="001C585E" w:rsidRDefault="001C585E" w:rsidP="001C5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1C585E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1C585E" w:rsidRPr="00781624" w:rsidRDefault="001C585E" w:rsidP="00781624">
      <w:pPr>
        <w:spacing w:after="200" w:line="276" w:lineRule="auto"/>
        <w:ind w:left="720"/>
        <w:jc w:val="both"/>
        <w:rPr>
          <w:rFonts w:ascii="Book Antiqua" w:hAnsi="Book Antiqua"/>
          <w:b/>
          <w:sz w:val="22"/>
        </w:rPr>
      </w:pPr>
    </w:p>
    <w:p w:rsidR="00781624" w:rsidRPr="00781624" w:rsidRDefault="00781624" w:rsidP="00781624">
      <w:pPr>
        <w:jc w:val="center"/>
        <w:rPr>
          <w:rFonts w:ascii="Book Antiqua" w:hAnsi="Book Antiqua"/>
          <w:sz w:val="18"/>
        </w:rPr>
      </w:pPr>
      <w:r w:rsidRPr="00781624">
        <w:rPr>
          <w:noProof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35050155" wp14:editId="1C10FAD7">
            <wp:simplePos x="0" y="0"/>
            <wp:positionH relativeFrom="column">
              <wp:posOffset>3634740</wp:posOffset>
            </wp:positionH>
            <wp:positionV relativeFrom="paragraph">
              <wp:posOffset>1675130</wp:posOffset>
            </wp:positionV>
            <wp:extent cx="405765" cy="33274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624">
        <w:rPr>
          <w:noProof/>
          <w:lang w:val="es-ES" w:eastAsia="es-ES"/>
        </w:rPr>
        <w:drawing>
          <wp:anchor distT="0" distB="1905" distL="114300" distR="115697" simplePos="0" relativeHeight="251661312" behindDoc="0" locked="0" layoutInCell="1" allowOverlap="1" wp14:anchorId="5273BF3B" wp14:editId="3D7C0BF5">
            <wp:simplePos x="0" y="0"/>
            <wp:positionH relativeFrom="column">
              <wp:posOffset>2123440</wp:posOffset>
            </wp:positionH>
            <wp:positionV relativeFrom="paragraph">
              <wp:posOffset>1135380</wp:posOffset>
            </wp:positionV>
            <wp:extent cx="681863" cy="882650"/>
            <wp:effectExtent l="0" t="0" r="444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624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AE38175" wp14:editId="64EA3BF8">
            <wp:simplePos x="0" y="0"/>
            <wp:positionH relativeFrom="column">
              <wp:posOffset>1518285</wp:posOffset>
            </wp:positionH>
            <wp:positionV relativeFrom="paragraph">
              <wp:posOffset>1213485</wp:posOffset>
            </wp:positionV>
            <wp:extent cx="612775" cy="793115"/>
            <wp:effectExtent l="0" t="0" r="0" b="698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624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90B8A77" wp14:editId="1ACBA3E4">
            <wp:simplePos x="0" y="0"/>
            <wp:positionH relativeFrom="column">
              <wp:posOffset>2893060</wp:posOffset>
            </wp:positionH>
            <wp:positionV relativeFrom="paragraph">
              <wp:posOffset>539750</wp:posOffset>
            </wp:positionV>
            <wp:extent cx="708025" cy="147129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624">
        <w:rPr>
          <w:noProof/>
          <w:lang w:val="es-ES" w:eastAsia="es-ES"/>
        </w:rPr>
        <w:drawing>
          <wp:inline distT="0" distB="0" distL="0" distR="0" wp14:anchorId="115B1F33" wp14:editId="6FC891EF">
            <wp:extent cx="3067050" cy="2409825"/>
            <wp:effectExtent l="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81624" w:rsidRPr="00781624" w:rsidRDefault="00781624" w:rsidP="00781624">
      <w:pPr>
        <w:jc w:val="right"/>
        <w:rPr>
          <w:rFonts w:ascii="Book Antiqua" w:hAnsi="Book Antiqua"/>
          <w:sz w:val="18"/>
        </w:rPr>
      </w:pPr>
      <w:r w:rsidRPr="00781624">
        <w:rPr>
          <w:rFonts w:ascii="Book Antiqua" w:hAnsi="Book Antiqua"/>
          <w:sz w:val="18"/>
        </w:rPr>
        <w:t xml:space="preserve">Fuente: Elaboración propia con datos de SINIM. </w:t>
      </w:r>
    </w:p>
    <w:p w:rsidR="00781624" w:rsidRPr="00781624" w:rsidRDefault="00781624" w:rsidP="00781624">
      <w:pPr>
        <w:jc w:val="both"/>
        <w:rPr>
          <w:rFonts w:ascii="Book Antiqua" w:hAnsi="Book Antiqua"/>
          <w:sz w:val="18"/>
        </w:rPr>
      </w:pPr>
    </w:p>
    <w:p w:rsidR="00781624" w:rsidRPr="00781624" w:rsidRDefault="00781624" w:rsidP="00781624">
      <w:pPr>
        <w:jc w:val="both"/>
        <w:rPr>
          <w:rFonts w:ascii="Book Antiqua" w:hAnsi="Book Antiqua"/>
          <w:bCs/>
          <w:sz w:val="22"/>
          <w:szCs w:val="22"/>
          <w:lang w:eastAsia="es-ES"/>
        </w:rPr>
      </w:pPr>
    </w:p>
    <w:p w:rsidR="009F4965" w:rsidRDefault="009F4965" w:rsidP="009F4965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  <w:r>
        <w:rPr>
          <w:rFonts w:ascii="Book Antiqua" w:hAnsi="Book Antiqua"/>
          <w:bCs/>
          <w:sz w:val="22"/>
          <w:szCs w:val="22"/>
          <w:lang w:eastAsia="es-ES"/>
        </w:rPr>
        <w:t xml:space="preserve">El Gráfico </w:t>
      </w:r>
      <w:r w:rsidRPr="004F2BD7">
        <w:rPr>
          <w:rFonts w:ascii="Book Antiqua" w:hAnsi="Book Antiqua"/>
          <w:bCs/>
          <w:sz w:val="22"/>
          <w:szCs w:val="22"/>
          <w:lang w:eastAsia="es-ES"/>
        </w:rPr>
        <w:t xml:space="preserve">muestra </w:t>
      </w:r>
      <w:r>
        <w:rPr>
          <w:rFonts w:ascii="Book Antiqua" w:hAnsi="Book Antiqua"/>
          <w:bCs/>
          <w:sz w:val="22"/>
          <w:szCs w:val="22"/>
          <w:lang w:eastAsia="es-ES"/>
        </w:rPr>
        <w:t>la distribución del total de los recursos de los Programas PMU y PMB para los años 2014 y 2016 en las denominadas comunas emblemáticas.</w:t>
      </w:r>
    </w:p>
    <w:p w:rsidR="009F4965" w:rsidRDefault="009F4965" w:rsidP="009F4965">
      <w:pPr>
        <w:spacing w:after="200" w:line="276" w:lineRule="auto"/>
        <w:jc w:val="both"/>
        <w:rPr>
          <w:rFonts w:ascii="Book Antiqua" w:hAnsi="Book Antiqua"/>
          <w:bCs/>
          <w:sz w:val="22"/>
          <w:szCs w:val="22"/>
          <w:lang w:eastAsia="es-ES"/>
        </w:rPr>
      </w:pPr>
      <w:r>
        <w:rPr>
          <w:rFonts w:ascii="Book Antiqua" w:hAnsi="Book Antiqua"/>
          <w:bCs/>
          <w:sz w:val="22"/>
          <w:szCs w:val="22"/>
          <w:lang w:eastAsia="es-ES"/>
        </w:rPr>
        <w:t>En él es posible apreciar que el año 2014, en que no hubo elecciones, la distribución de recursos era relativamente proporcional. Sin embargo, el año 2016, que s</w:t>
      </w:r>
      <w:r w:rsidR="005711E9">
        <w:rPr>
          <w:rFonts w:ascii="Book Antiqua" w:hAnsi="Book Antiqua"/>
          <w:bCs/>
          <w:sz w:val="22"/>
          <w:szCs w:val="22"/>
          <w:lang w:eastAsia="es-ES"/>
        </w:rPr>
        <w:t>í</w:t>
      </w:r>
      <w:r>
        <w:rPr>
          <w:rFonts w:ascii="Book Antiqua" w:hAnsi="Book Antiqua"/>
          <w:bCs/>
          <w:sz w:val="22"/>
          <w:szCs w:val="22"/>
          <w:lang w:eastAsia="es-ES"/>
        </w:rPr>
        <w:t xml:space="preserve"> es año electoral, los recursos que destina SUBDERE a las llamadas comunas emblemáticas cuyo Alcalde es adherente o militante de la Nueva Mayoría aumenta en 43 puntos porcentuales, representando 8 veces más que las comunas cuyo Alcalde se identifica con Chile Vamos.</w:t>
      </w:r>
    </w:p>
    <w:p w:rsidR="009F4965" w:rsidRDefault="009F4965" w:rsidP="009F4965">
      <w:pPr>
        <w:jc w:val="both"/>
        <w:rPr>
          <w:rFonts w:ascii="Book Antiqua" w:hAnsi="Book Antiqua"/>
          <w:bCs/>
          <w:sz w:val="22"/>
          <w:szCs w:val="22"/>
          <w:lang w:eastAsia="es-ES"/>
        </w:rPr>
      </w:pPr>
      <w:r>
        <w:rPr>
          <w:rFonts w:ascii="Book Antiqua" w:hAnsi="Book Antiqua"/>
          <w:bCs/>
          <w:sz w:val="22"/>
          <w:szCs w:val="22"/>
          <w:lang w:eastAsia="es-ES"/>
        </w:rPr>
        <w:t xml:space="preserve">Ahora bien, desde el punto de vista del número de electores, vemos que las diferencias antes señaladas son aún más injustas y desproporcionadas. </w:t>
      </w:r>
    </w:p>
    <w:p w:rsidR="009F4965" w:rsidRDefault="009F4965" w:rsidP="009F4965">
      <w:pPr>
        <w:jc w:val="both"/>
        <w:rPr>
          <w:rFonts w:ascii="Book Antiqua" w:hAnsi="Book Antiqua"/>
          <w:bCs/>
          <w:sz w:val="22"/>
          <w:szCs w:val="22"/>
          <w:lang w:eastAsia="es-ES"/>
        </w:rPr>
      </w:pPr>
    </w:p>
    <w:p w:rsidR="009F4965" w:rsidRPr="003820F7" w:rsidRDefault="003820F7" w:rsidP="009F4965">
      <w:pPr>
        <w:jc w:val="both"/>
        <w:rPr>
          <w:rFonts w:ascii="Calibri" w:hAnsi="Calibri"/>
          <w:color w:val="000000"/>
          <w:sz w:val="20"/>
          <w:szCs w:val="20"/>
          <w:lang w:val="es-ES" w:eastAsia="es-ES"/>
        </w:rPr>
      </w:pPr>
      <w:r>
        <w:rPr>
          <w:rFonts w:ascii="Book Antiqua" w:hAnsi="Book Antiqua"/>
          <w:bCs/>
          <w:sz w:val="22"/>
          <w:szCs w:val="22"/>
          <w:lang w:eastAsia="es-ES"/>
        </w:rPr>
        <w:t xml:space="preserve">El número de electores </w:t>
      </w:r>
      <w:r w:rsidR="009F4965">
        <w:rPr>
          <w:rFonts w:ascii="Book Antiqua" w:hAnsi="Book Antiqua"/>
          <w:bCs/>
          <w:sz w:val="22"/>
          <w:szCs w:val="22"/>
          <w:lang w:eastAsia="es-ES"/>
        </w:rPr>
        <w:t>g</w:t>
      </w:r>
      <w:r>
        <w:rPr>
          <w:rFonts w:ascii="Book Antiqua" w:hAnsi="Book Antiqua"/>
          <w:bCs/>
          <w:sz w:val="22"/>
          <w:szCs w:val="22"/>
          <w:lang w:eastAsia="es-ES"/>
        </w:rPr>
        <w:t>obernado</w:t>
      </w:r>
      <w:r w:rsidR="009F4965">
        <w:rPr>
          <w:rFonts w:ascii="Book Antiqua" w:hAnsi="Book Antiqua"/>
          <w:bCs/>
          <w:sz w:val="22"/>
          <w:szCs w:val="22"/>
          <w:lang w:eastAsia="es-ES"/>
        </w:rPr>
        <w:t xml:space="preserve">s por Alcaldes que adhieren a Chile Vamos, en este grupo analizado, es de </w:t>
      </w:r>
      <w:r w:rsidRPr="003820F7">
        <w:rPr>
          <w:rFonts w:ascii="Book Antiqua" w:hAnsi="Book Antiqua"/>
          <w:bCs/>
          <w:sz w:val="22"/>
          <w:szCs w:val="22"/>
          <w:lang w:eastAsia="es-ES"/>
        </w:rPr>
        <w:t>2</w:t>
      </w:r>
      <w:r>
        <w:rPr>
          <w:rFonts w:ascii="Book Antiqua" w:hAnsi="Book Antiqua"/>
          <w:bCs/>
          <w:sz w:val="22"/>
          <w:szCs w:val="22"/>
          <w:lang w:eastAsia="es-ES"/>
        </w:rPr>
        <w:t>.</w:t>
      </w:r>
      <w:r w:rsidRPr="003820F7">
        <w:rPr>
          <w:rFonts w:ascii="Book Antiqua" w:hAnsi="Book Antiqua"/>
          <w:bCs/>
          <w:sz w:val="22"/>
          <w:szCs w:val="22"/>
          <w:lang w:eastAsia="es-ES"/>
        </w:rPr>
        <w:t>386</w:t>
      </w:r>
      <w:r>
        <w:rPr>
          <w:rFonts w:ascii="Book Antiqua" w:hAnsi="Book Antiqua"/>
          <w:bCs/>
          <w:sz w:val="22"/>
          <w:szCs w:val="22"/>
          <w:lang w:eastAsia="es-ES"/>
        </w:rPr>
        <w:t>.</w:t>
      </w:r>
      <w:r w:rsidRPr="003820F7">
        <w:rPr>
          <w:rFonts w:ascii="Book Antiqua" w:hAnsi="Book Antiqua"/>
          <w:bCs/>
          <w:sz w:val="22"/>
          <w:szCs w:val="22"/>
          <w:lang w:eastAsia="es-ES"/>
        </w:rPr>
        <w:t>130</w:t>
      </w:r>
      <w:r>
        <w:rPr>
          <w:rFonts w:ascii="Book Antiqua" w:hAnsi="Book Antiqua"/>
          <w:bCs/>
          <w:sz w:val="22"/>
          <w:szCs w:val="22"/>
          <w:lang w:eastAsia="es-ES"/>
        </w:rPr>
        <w:t>,</w:t>
      </w:r>
      <w:r>
        <w:rPr>
          <w:rFonts w:ascii="Calibri" w:hAnsi="Calibri"/>
          <w:color w:val="000000"/>
          <w:sz w:val="20"/>
          <w:szCs w:val="20"/>
          <w:lang w:val="es-ES" w:eastAsia="es-ES"/>
        </w:rPr>
        <w:t xml:space="preserve"> </w:t>
      </w:r>
      <w:r w:rsidR="009F4965" w:rsidRPr="001613D6">
        <w:rPr>
          <w:rFonts w:ascii="Book Antiqua" w:hAnsi="Book Antiqua"/>
          <w:bCs/>
          <w:sz w:val="22"/>
          <w:szCs w:val="22"/>
          <w:lang w:eastAsia="es-ES"/>
        </w:rPr>
        <w:t>que equivale</w:t>
      </w:r>
      <w:r>
        <w:rPr>
          <w:rFonts w:ascii="Book Antiqua" w:hAnsi="Book Antiqua"/>
          <w:bCs/>
          <w:sz w:val="22"/>
          <w:szCs w:val="22"/>
          <w:lang w:eastAsia="es-ES"/>
        </w:rPr>
        <w:t>n</w:t>
      </w:r>
      <w:r w:rsidR="009F4965">
        <w:rPr>
          <w:rFonts w:ascii="Book Antiqua" w:hAnsi="Book Antiqua"/>
          <w:bCs/>
          <w:sz w:val="22"/>
          <w:szCs w:val="22"/>
          <w:lang w:eastAsia="es-ES"/>
        </w:rPr>
        <w:t xml:space="preserve"> al 61,4% del total y el año 2016 solo se le asigna, el 10, 4% de los recursos.</w:t>
      </w:r>
    </w:p>
    <w:p w:rsidR="009F4965" w:rsidRDefault="009F4965" w:rsidP="009F4965">
      <w:pPr>
        <w:jc w:val="both"/>
        <w:rPr>
          <w:rFonts w:ascii="Book Antiqua" w:hAnsi="Book Antiqua"/>
          <w:bCs/>
          <w:sz w:val="22"/>
          <w:szCs w:val="22"/>
          <w:lang w:eastAsia="es-ES"/>
        </w:rPr>
      </w:pPr>
    </w:p>
    <w:p w:rsidR="009F4965" w:rsidRPr="003820F7" w:rsidRDefault="009F4965" w:rsidP="009F4965">
      <w:pPr>
        <w:jc w:val="both"/>
        <w:rPr>
          <w:rFonts w:ascii="Calibri" w:hAnsi="Calibri"/>
          <w:color w:val="000000"/>
          <w:sz w:val="20"/>
          <w:szCs w:val="20"/>
          <w:lang w:val="es-ES" w:eastAsia="es-ES"/>
        </w:rPr>
      </w:pPr>
      <w:r>
        <w:rPr>
          <w:rFonts w:ascii="Book Antiqua" w:hAnsi="Book Antiqua"/>
          <w:bCs/>
          <w:sz w:val="22"/>
          <w:szCs w:val="22"/>
          <w:lang w:eastAsia="es-ES"/>
        </w:rPr>
        <w:t xml:space="preserve">Por el contrario, </w:t>
      </w:r>
      <w:r w:rsidR="003820F7">
        <w:rPr>
          <w:rFonts w:ascii="Book Antiqua" w:hAnsi="Book Antiqua"/>
          <w:bCs/>
          <w:sz w:val="22"/>
          <w:szCs w:val="22"/>
          <w:lang w:eastAsia="es-ES"/>
        </w:rPr>
        <w:t>El número de electores gobernados</w:t>
      </w:r>
      <w:r w:rsidRPr="001613D6">
        <w:rPr>
          <w:rFonts w:ascii="Book Antiqua" w:hAnsi="Book Antiqua"/>
          <w:bCs/>
          <w:sz w:val="22"/>
          <w:szCs w:val="22"/>
          <w:lang w:eastAsia="es-ES"/>
        </w:rPr>
        <w:t xml:space="preserve"> por </w:t>
      </w:r>
      <w:r>
        <w:rPr>
          <w:rFonts w:ascii="Book Antiqua" w:hAnsi="Book Antiqua"/>
          <w:bCs/>
          <w:sz w:val="22"/>
          <w:szCs w:val="22"/>
          <w:lang w:eastAsia="es-ES"/>
        </w:rPr>
        <w:t>Alcaldes que adhieren a la Nueva Mayoría</w:t>
      </w:r>
      <w:r w:rsidR="003820F7">
        <w:rPr>
          <w:rFonts w:ascii="Book Antiqua" w:hAnsi="Book Antiqua"/>
          <w:bCs/>
          <w:sz w:val="22"/>
          <w:szCs w:val="22"/>
          <w:lang w:eastAsia="es-ES"/>
        </w:rPr>
        <w:t>,</w:t>
      </w:r>
      <w:r>
        <w:rPr>
          <w:rFonts w:ascii="Book Antiqua" w:hAnsi="Book Antiqua"/>
          <w:bCs/>
          <w:sz w:val="22"/>
          <w:szCs w:val="22"/>
          <w:lang w:eastAsia="es-ES"/>
        </w:rPr>
        <w:t xml:space="preserve"> en este grupo de comunas</w:t>
      </w:r>
      <w:r w:rsidR="003820F7">
        <w:rPr>
          <w:rFonts w:ascii="Book Antiqua" w:hAnsi="Book Antiqua"/>
          <w:bCs/>
          <w:sz w:val="22"/>
          <w:szCs w:val="22"/>
          <w:lang w:eastAsia="es-ES"/>
        </w:rPr>
        <w:t>,</w:t>
      </w:r>
      <w:r>
        <w:rPr>
          <w:rFonts w:ascii="Book Antiqua" w:hAnsi="Book Antiqua"/>
          <w:bCs/>
          <w:sz w:val="22"/>
          <w:szCs w:val="22"/>
          <w:lang w:eastAsia="es-ES"/>
        </w:rPr>
        <w:t xml:space="preserve"> alcanza a </w:t>
      </w:r>
      <w:r w:rsidR="003820F7">
        <w:rPr>
          <w:rFonts w:ascii="Book Antiqua" w:hAnsi="Book Antiqua"/>
          <w:bCs/>
          <w:sz w:val="22"/>
          <w:szCs w:val="22"/>
          <w:lang w:eastAsia="es-ES"/>
        </w:rPr>
        <w:t xml:space="preserve">los </w:t>
      </w:r>
      <w:r w:rsidRPr="003820F7">
        <w:rPr>
          <w:rFonts w:ascii="Book Antiqua" w:hAnsi="Book Antiqua"/>
          <w:bCs/>
          <w:sz w:val="22"/>
          <w:szCs w:val="22"/>
          <w:lang w:eastAsia="es-ES"/>
        </w:rPr>
        <w:t>1</w:t>
      </w:r>
      <w:r w:rsidR="003820F7">
        <w:rPr>
          <w:rFonts w:ascii="Book Antiqua" w:hAnsi="Book Antiqua"/>
          <w:bCs/>
          <w:sz w:val="22"/>
          <w:szCs w:val="22"/>
          <w:lang w:eastAsia="es-ES"/>
        </w:rPr>
        <w:t>.</w:t>
      </w:r>
      <w:r w:rsidRPr="003820F7">
        <w:rPr>
          <w:rFonts w:ascii="Book Antiqua" w:hAnsi="Book Antiqua"/>
          <w:bCs/>
          <w:sz w:val="22"/>
          <w:szCs w:val="22"/>
          <w:lang w:eastAsia="es-ES"/>
        </w:rPr>
        <w:t>503</w:t>
      </w:r>
      <w:r w:rsidR="003820F7">
        <w:rPr>
          <w:rFonts w:ascii="Book Antiqua" w:hAnsi="Book Antiqua"/>
          <w:bCs/>
          <w:sz w:val="22"/>
          <w:szCs w:val="22"/>
          <w:lang w:eastAsia="es-ES"/>
        </w:rPr>
        <w:t>.</w:t>
      </w:r>
      <w:r w:rsidRPr="003820F7">
        <w:rPr>
          <w:rFonts w:ascii="Book Antiqua" w:hAnsi="Book Antiqua"/>
          <w:bCs/>
          <w:sz w:val="22"/>
          <w:szCs w:val="22"/>
          <w:lang w:eastAsia="es-ES"/>
        </w:rPr>
        <w:t>190</w:t>
      </w:r>
      <w:r w:rsidR="003820F7">
        <w:rPr>
          <w:rFonts w:ascii="Calibri" w:hAnsi="Calibri"/>
          <w:color w:val="000000"/>
          <w:sz w:val="20"/>
          <w:szCs w:val="20"/>
          <w:lang w:val="es-ES" w:eastAsia="es-ES"/>
        </w:rPr>
        <w:t xml:space="preserve"> </w:t>
      </w:r>
      <w:r w:rsidRPr="001613D6">
        <w:rPr>
          <w:rFonts w:ascii="Book Antiqua" w:hAnsi="Book Antiqua"/>
          <w:bCs/>
          <w:sz w:val="22"/>
          <w:szCs w:val="22"/>
          <w:lang w:eastAsia="es-ES"/>
        </w:rPr>
        <w:t>que equivale al 38.</w:t>
      </w:r>
      <w:r>
        <w:rPr>
          <w:rFonts w:ascii="Book Antiqua" w:hAnsi="Book Antiqua"/>
          <w:bCs/>
          <w:sz w:val="22"/>
          <w:szCs w:val="22"/>
          <w:lang w:eastAsia="es-ES"/>
        </w:rPr>
        <w:t>6</w:t>
      </w:r>
      <w:r w:rsidRPr="001613D6">
        <w:rPr>
          <w:rFonts w:ascii="Book Antiqua" w:hAnsi="Book Antiqua"/>
          <w:bCs/>
          <w:sz w:val="22"/>
          <w:szCs w:val="22"/>
          <w:lang w:eastAsia="es-ES"/>
        </w:rPr>
        <w:t xml:space="preserve">% del total </w:t>
      </w:r>
      <w:r>
        <w:rPr>
          <w:rFonts w:ascii="Book Antiqua" w:hAnsi="Book Antiqua"/>
          <w:bCs/>
          <w:sz w:val="22"/>
          <w:szCs w:val="22"/>
          <w:lang w:eastAsia="es-ES"/>
        </w:rPr>
        <w:t>y el año 2016 se le asigna, el 90% de los recursos.</w:t>
      </w:r>
    </w:p>
    <w:p w:rsidR="00781624" w:rsidRPr="00781624" w:rsidRDefault="00781624"/>
    <w:sectPr w:rsidR="00781624" w:rsidRPr="00781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29" w:rsidRDefault="00DD5529" w:rsidP="00781624">
      <w:r>
        <w:separator/>
      </w:r>
    </w:p>
  </w:endnote>
  <w:endnote w:type="continuationSeparator" w:id="0">
    <w:p w:rsidR="00DD5529" w:rsidRDefault="00DD5529" w:rsidP="0078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29" w:rsidRDefault="00DD5529" w:rsidP="00781624">
      <w:r>
        <w:separator/>
      </w:r>
    </w:p>
  </w:footnote>
  <w:footnote w:type="continuationSeparator" w:id="0">
    <w:p w:rsidR="00DD5529" w:rsidRDefault="00DD5529" w:rsidP="00781624">
      <w:r>
        <w:continuationSeparator/>
      </w:r>
    </w:p>
  </w:footnote>
  <w:footnote w:id="1">
    <w:p w:rsidR="00781624" w:rsidRDefault="00781624" w:rsidP="0078162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D9255F">
          <w:rPr>
            <w:rStyle w:val="Hipervnculo"/>
          </w:rPr>
          <w:t>http://www.subdere.gov.cl/programas/divisi%C3%B3n-municipalidades/programa-mejoramiento-urbano-y-equipamiento-comunal-pmu</w:t>
        </w:r>
      </w:hyperlink>
      <w:r>
        <w:t xml:space="preserve"> </w:t>
      </w:r>
    </w:p>
  </w:footnote>
  <w:footnote w:id="2">
    <w:p w:rsidR="00781624" w:rsidRDefault="00781624" w:rsidP="0078162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D9255F">
          <w:rPr>
            <w:rStyle w:val="Hipervnculo"/>
          </w:rPr>
          <w:t>http://www.subdere.gov.cl/programas/divisi%C3%B3n-municipalidades/programa-mejoramiento-de-barrios-pmb</w:t>
        </w:r>
      </w:hyperlink>
      <w:r>
        <w:t xml:space="preserve"> </w:t>
      </w:r>
    </w:p>
  </w:footnote>
  <w:footnote w:id="3">
    <w:p w:rsidR="00781624" w:rsidRPr="00B93666" w:rsidRDefault="00781624" w:rsidP="00781624">
      <w:pPr>
        <w:pStyle w:val="HTMLconformatoprevio"/>
        <w:shd w:val="clear" w:color="auto" w:fill="FFFFFF"/>
        <w:rPr>
          <w:color w:val="666666"/>
          <w:sz w:val="15"/>
          <w:szCs w:val="15"/>
          <w:lang w:val="es-CL" w:eastAsia="es-CL"/>
        </w:rPr>
      </w:pPr>
      <w:r>
        <w:rPr>
          <w:rStyle w:val="Refdenotaalpie"/>
        </w:rPr>
        <w:footnoteRef/>
      </w:r>
      <w:r>
        <w:t xml:space="preserve"> </w:t>
      </w:r>
      <w:r w:rsidRPr="00B93666">
        <w:rPr>
          <w:rFonts w:ascii="Times New Roman" w:hAnsi="Times New Roman" w:cs="Times New Roman"/>
          <w:sz w:val="18"/>
          <w:szCs w:val="18"/>
          <w:lang w:val="es-CL" w:eastAsia="es-CL"/>
        </w:rPr>
        <w:t xml:space="preserve">Información obtenida a través de la aplicación de la </w:t>
      </w:r>
      <w:r>
        <w:rPr>
          <w:rFonts w:ascii="Times New Roman" w:hAnsi="Times New Roman" w:cs="Times New Roman"/>
          <w:sz w:val="18"/>
          <w:szCs w:val="18"/>
          <w:lang w:val="es-CL" w:eastAsia="es-CL"/>
        </w:rPr>
        <w:t xml:space="preserve">Ley N°. 20.285 </w:t>
      </w:r>
      <w:r w:rsidRPr="00B93666">
        <w:rPr>
          <w:rFonts w:ascii="Times New Roman" w:hAnsi="Times New Roman" w:cs="Times New Roman"/>
          <w:sz w:val="18"/>
          <w:szCs w:val="18"/>
          <w:lang w:val="es-CL" w:eastAsia="es-CL"/>
        </w:rPr>
        <w:t>sobre acceso a la información pública</w:t>
      </w:r>
    </w:p>
  </w:footnote>
  <w:footnote w:id="4">
    <w:p w:rsidR="00781624" w:rsidRDefault="00781624" w:rsidP="00781624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proofErr w:type="gramStart"/>
      <w:r w:rsidRPr="00BA247D">
        <w:rPr>
          <w:sz w:val="18"/>
          <w:szCs w:val="18"/>
        </w:rPr>
        <w:t>Total</w:t>
      </w:r>
      <w:proofErr w:type="gramEnd"/>
      <w:r w:rsidRPr="00BA247D">
        <w:rPr>
          <w:sz w:val="18"/>
          <w:szCs w:val="18"/>
        </w:rPr>
        <w:t xml:space="preserve"> PMU 2014 – 2015 – </w:t>
      </w:r>
      <w:r>
        <w:rPr>
          <w:sz w:val="18"/>
          <w:szCs w:val="18"/>
        </w:rPr>
        <w:t xml:space="preserve">Primer Semestre </w:t>
      </w:r>
      <w:r w:rsidRPr="00BA247D">
        <w:rPr>
          <w:sz w:val="18"/>
          <w:szCs w:val="18"/>
        </w:rPr>
        <w:t>2016: $ 217.967.889.586</w:t>
      </w:r>
    </w:p>
    <w:p w:rsidR="00781624" w:rsidRDefault="00781624" w:rsidP="00781624">
      <w:pPr>
        <w:pStyle w:val="Textonotapie"/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Total</w:t>
      </w:r>
      <w:proofErr w:type="gramEnd"/>
      <w:r>
        <w:rPr>
          <w:sz w:val="18"/>
          <w:szCs w:val="18"/>
        </w:rPr>
        <w:t xml:space="preserve"> PMB </w:t>
      </w:r>
      <w:r w:rsidRPr="00BA247D">
        <w:rPr>
          <w:sz w:val="18"/>
          <w:szCs w:val="18"/>
        </w:rPr>
        <w:t xml:space="preserve">2014 – 2015 – </w:t>
      </w:r>
      <w:r>
        <w:rPr>
          <w:sz w:val="18"/>
          <w:szCs w:val="18"/>
        </w:rPr>
        <w:t xml:space="preserve">Primer Semestre </w:t>
      </w:r>
      <w:r w:rsidRPr="00BA247D">
        <w:rPr>
          <w:sz w:val="18"/>
          <w:szCs w:val="18"/>
        </w:rPr>
        <w:t>2016: $</w:t>
      </w:r>
      <w:r>
        <w:rPr>
          <w:sz w:val="18"/>
          <w:szCs w:val="18"/>
        </w:rPr>
        <w:t xml:space="preserve"> 122.498.560.564</w:t>
      </w:r>
    </w:p>
  </w:footnote>
  <w:footnote w:id="5">
    <w:p w:rsidR="00781624" w:rsidRDefault="00781624" w:rsidP="00781624">
      <w:pPr>
        <w:pStyle w:val="Textonotapie"/>
      </w:pPr>
      <w:r>
        <w:rPr>
          <w:rStyle w:val="Refdenotaalpie"/>
        </w:rPr>
        <w:footnoteRef/>
      </w:r>
      <w:r>
        <w:t xml:space="preserve"> Valor del dólar $ 651 al 16 de agosto de 2016.</w:t>
      </w:r>
    </w:p>
  </w:footnote>
  <w:footnote w:id="6">
    <w:p w:rsidR="00781624" w:rsidRDefault="00781624" w:rsidP="00781624">
      <w:pPr>
        <w:pStyle w:val="Textonotapie"/>
      </w:pPr>
      <w:r>
        <w:rPr>
          <w:rStyle w:val="Refdenotaalpie"/>
        </w:rPr>
        <w:footnoteRef/>
      </w:r>
      <w:r>
        <w:t xml:space="preserve"> La recaudación 2015 del evento de la Teletón alcanzó </w:t>
      </w:r>
      <w:r w:rsidRPr="008F63A3">
        <w:rPr>
          <w:sz w:val="18"/>
          <w:szCs w:val="18"/>
        </w:rPr>
        <w:t xml:space="preserve">los $ </w:t>
      </w:r>
      <w:r>
        <w:rPr>
          <w:sz w:val="18"/>
          <w:szCs w:val="18"/>
        </w:rPr>
        <w:t>30.601.978.</w:t>
      </w:r>
      <w:r w:rsidRPr="008F63A3">
        <w:rPr>
          <w:sz w:val="18"/>
          <w:szCs w:val="18"/>
        </w:rPr>
        <w:t>621</w:t>
      </w:r>
      <w:r>
        <w:rPr>
          <w:sz w:val="18"/>
          <w:szCs w:val="18"/>
        </w:rPr>
        <w:t>, aproximadamente US$ 40 millones.</w:t>
      </w:r>
    </w:p>
  </w:footnote>
  <w:footnote w:id="7">
    <w:p w:rsidR="000732D8" w:rsidRDefault="000732D8" w:rsidP="000732D8">
      <w:pPr>
        <w:pStyle w:val="Textonotapie"/>
      </w:pPr>
      <w:r>
        <w:rPr>
          <w:rStyle w:val="Refdenotaalpie"/>
        </w:rPr>
        <w:footnoteRef/>
      </w:r>
      <w:r>
        <w:t xml:space="preserve"> Maipú, Puente Alto; Viña del Mar, La Florida, Valparaíso, Santiago, Antofagasta, Temuco, Las Condes, San Bernardo, Concepción, Huechuraba, La Reina, Ñuñoa, Providencia, Puerto Montt, Recoleta.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A2E"/>
    <w:multiLevelType w:val="hybridMultilevel"/>
    <w:tmpl w:val="886E72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3FA3"/>
    <w:multiLevelType w:val="hybridMultilevel"/>
    <w:tmpl w:val="990AB4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5A49"/>
    <w:multiLevelType w:val="hybridMultilevel"/>
    <w:tmpl w:val="7712603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F7A45"/>
    <w:multiLevelType w:val="hybridMultilevel"/>
    <w:tmpl w:val="13EA5688"/>
    <w:lvl w:ilvl="0" w:tplc="0860A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24"/>
    <w:rsid w:val="00032E38"/>
    <w:rsid w:val="000732D8"/>
    <w:rsid w:val="001C585E"/>
    <w:rsid w:val="002F54F8"/>
    <w:rsid w:val="0031624E"/>
    <w:rsid w:val="003820F7"/>
    <w:rsid w:val="003F3638"/>
    <w:rsid w:val="00472F03"/>
    <w:rsid w:val="0048113F"/>
    <w:rsid w:val="00532546"/>
    <w:rsid w:val="005711E9"/>
    <w:rsid w:val="00670667"/>
    <w:rsid w:val="0075738E"/>
    <w:rsid w:val="00781624"/>
    <w:rsid w:val="007A2F37"/>
    <w:rsid w:val="008F770A"/>
    <w:rsid w:val="009F4965"/>
    <w:rsid w:val="00AC0F3F"/>
    <w:rsid w:val="00AC5E5F"/>
    <w:rsid w:val="00BB259B"/>
    <w:rsid w:val="00BD6B9D"/>
    <w:rsid w:val="00DD5529"/>
    <w:rsid w:val="00EB5171"/>
    <w:rsid w:val="00FD421C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102F"/>
  <w15:chartTrackingRefBased/>
  <w15:docId w15:val="{78BF494F-44B7-409E-9D3B-43E4C63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2">
    <w:name w:val="heading 2"/>
    <w:basedOn w:val="Normal"/>
    <w:link w:val="Ttulo2Car"/>
    <w:uiPriority w:val="9"/>
    <w:qFormat/>
    <w:rsid w:val="00781624"/>
    <w:pPr>
      <w:spacing w:before="100" w:beforeAutospacing="1" w:after="100" w:afterAutospacing="1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81624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816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81624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styleId="Refdenotaalpie">
    <w:name w:val="footnote reference"/>
    <w:uiPriority w:val="99"/>
    <w:rsid w:val="00781624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78162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78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8162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781624"/>
    <w:pPr>
      <w:spacing w:before="100" w:beforeAutospacing="1" w:after="100" w:afterAutospacing="1"/>
    </w:pPr>
    <w:rPr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781624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uiPriority w:val="99"/>
    <w:unhideWhenUsed/>
    <w:rsid w:val="0078162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20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0F7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3820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0F7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decuadrcula4-nfasis1">
    <w:name w:val="Grid Table 4 Accent 1"/>
    <w:basedOn w:val="Tablanormal"/>
    <w:uiPriority w:val="49"/>
    <w:rsid w:val="001C585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chart" Target="charts/chart4.xml"/><Relationship Id="rId19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bdere.gov.cl/programas/divisi%C3%B3n-municipalidades/programa-mejoramiento-de-barrios-pmb" TargetMode="External"/><Relationship Id="rId1" Type="http://schemas.openxmlformats.org/officeDocument/2006/relationships/hyperlink" Target="http://www.subdere.gov.cl/programas/divisi%C3%B3n-municipalidades/programa-mejoramiento-urbano-y-equipamiento-comunal-pm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is%20Espinoza\Desktop\Nicolas%20Monckeberg\Fiscalizaci&#243;n\SUBDERE%20PMU%20-%20PMB\RESULTADOS%20CRUCES%20PMB%20-%20PMU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is%20Espinoza\Desktop\Nicolas%20Monckeberg\Fiscalizaci&#243;n\SUBDERE%20PMU%20-%20PMB\RESULTADOS%20CRUCES%20PMB%20-%20PMU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is%20Espinoza\Desktop\Nicolas%20Monckeberg\Fiscalizaci&#243;n\SUBDERE%20PMU%20-%20PMB\RESULTADOS%20CRUCES%20PMB%20-%20PMU%20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Luis%20Espinoza\Desktop\Nicolas%20Monckeberg\Fiscalizaci&#243;n\SUBDERE%20PMU%20-%20PMB\RESULTADOS%20CRUCES%20PMB%20-%20PMU%20V2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is%20Espinoza\Desktop\Nicolas%20Monckeberg\Fiscalizaci&#243;n\SUBDERE%20PMU%20-%20PMB\RESULTADOS%20CRUCES%20PMB%20-%20PMU%20V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is%20Espinoza\Desktop\Nicolas%20Monckeberg\Fiscalizaci&#243;n\SUBDERE%20PMU%20-%20PMB\RESULTADOS%20CRUCES%20PMB%20-%20PMU%20V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3419572553430819E-2"/>
          <c:y val="0.24021062182042061"/>
          <c:w val="0.92586352148272955"/>
          <c:h val="0.62338020152305951"/>
        </c:manualLayout>
      </c:layout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Nueva Mayoría</c:v>
                </c:pt>
              </c:strCache>
            </c:strRef>
          </c:tx>
          <c:marker>
            <c:symbol val="circle"/>
            <c:size val="7"/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2B5-45D5-8019-C7E307C04CD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82B5-45D5-8019-C7E307C04CD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82B5-45D5-8019-C7E307C04CD9}"/>
              </c:ext>
            </c:extLst>
          </c:dPt>
          <c:dLbls>
            <c:spPr>
              <a:noFill/>
              <a:ln w="25383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57.9</c:v>
                </c:pt>
                <c:pt idx="1">
                  <c:v>62.9</c:v>
                </c:pt>
                <c:pt idx="2">
                  <c:v>69.099999999999994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2B5-45D5-8019-C7E307C04CD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Chile Vamos</c:v>
                </c:pt>
              </c:strCache>
            </c:strRef>
          </c:tx>
          <c:marker>
            <c:symbol val="circle"/>
            <c:size val="7"/>
          </c:marker>
          <c:dLbls>
            <c:spPr>
              <a:noFill/>
              <a:ln w="25383">
                <a:noFill/>
              </a:ln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38</c:v>
                </c:pt>
                <c:pt idx="1">
                  <c:v>32.700000000000003</c:v>
                </c:pt>
                <c:pt idx="2">
                  <c:v>27.8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2B5-45D5-8019-C7E307C04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491904"/>
        <c:axId val="1"/>
      </c:lineChart>
      <c:catAx>
        <c:axId val="19149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15"/>
        </c:scaling>
        <c:delete val="1"/>
        <c:axPos val="l"/>
        <c:numFmt formatCode="General" sourceLinked="1"/>
        <c:majorTickMark val="out"/>
        <c:minorTickMark val="none"/>
        <c:tickLblPos val="nextTo"/>
        <c:crossAx val="1914919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99">
          <a:latin typeface="Book Antiqua" panose="02040602050305030304" pitchFamily="18" charset="0"/>
        </a:defRPr>
      </a:pPr>
      <a:endParaRPr lang="es-E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Distribución PMB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26-4700-9241-51E68A7B68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26-4700-9241-51E68A7B68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26-4700-9241-51E68A7B68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E26-4700-9241-51E68A7B68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'RESULTADOS PMB'!$AF$6:$AI$6</c:f>
              <c:strCache>
                <c:ptCount val="4"/>
                <c:pt idx="0">
                  <c:v>NUEVA MAYORIA</c:v>
                </c:pt>
                <c:pt idx="1">
                  <c:v>CHILEVAMOS</c:v>
                </c:pt>
                <c:pt idx="2">
                  <c:v>PRO</c:v>
                </c:pt>
                <c:pt idx="3">
                  <c:v>FUERA PACTO / OTROS</c:v>
                </c:pt>
              </c:strCache>
            </c:strRef>
          </c:cat>
          <c:val>
            <c:numRef>
              <c:f>'RESULTADOS PMB'!$AF$7:$AI$7</c:f>
              <c:numCache>
                <c:formatCode>0.0</c:formatCode>
                <c:ptCount val="4"/>
                <c:pt idx="0">
                  <c:v>63.104391425317793</c:v>
                </c:pt>
                <c:pt idx="1">
                  <c:v>30.957230284172734</c:v>
                </c:pt>
                <c:pt idx="2">
                  <c:v>2.7210734660078226</c:v>
                </c:pt>
                <c:pt idx="3">
                  <c:v>3.2173048245016473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26-4700-9241-51E68A7B68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Distribución PMB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BD-45FA-9CF5-F1F4737672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5BD-45FA-9CF5-F1F4737672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5BD-45FA-9CF5-F1F4737672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5BD-45FA-9CF5-F1F4737672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'RESULTADOS PMB'!$AF$2:$AI$2</c:f>
              <c:strCache>
                <c:ptCount val="4"/>
                <c:pt idx="0">
                  <c:v>NUEVA MAYORIA</c:v>
                </c:pt>
                <c:pt idx="1">
                  <c:v>CHILEVAMOS</c:v>
                </c:pt>
                <c:pt idx="2">
                  <c:v>PRO</c:v>
                </c:pt>
                <c:pt idx="3">
                  <c:v>FUERA PACTO / OTROS</c:v>
                </c:pt>
              </c:strCache>
            </c:strRef>
          </c:cat>
          <c:val>
            <c:numRef>
              <c:f>'RESULTADOS PMB'!$AF$3:$AI$3</c:f>
              <c:numCache>
                <c:formatCode>0.0</c:formatCode>
                <c:ptCount val="4"/>
                <c:pt idx="0">
                  <c:v>57.09045262720938</c:v>
                </c:pt>
                <c:pt idx="1">
                  <c:v>37.619023407552739</c:v>
                </c:pt>
                <c:pt idx="2">
                  <c:v>4.8921129529819423</c:v>
                </c:pt>
                <c:pt idx="3">
                  <c:v>0.3984110122559405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5BD-45FA-9CF5-F1F473767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Distribución PMB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21C-45D4-BD8A-FF43A0A9BF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21C-45D4-BD8A-FF43A0A9BF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21C-45D4-BD8A-FF43A0A9BF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21C-45D4-BD8A-FF43A0A9BF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'RESULTADOS PMB'!$AF$10:$AI$10</c:f>
              <c:strCache>
                <c:ptCount val="4"/>
                <c:pt idx="0">
                  <c:v>NUEVA MAYORIA</c:v>
                </c:pt>
                <c:pt idx="1">
                  <c:v>CHILEVAMOS</c:v>
                </c:pt>
                <c:pt idx="2">
                  <c:v>PRO</c:v>
                </c:pt>
                <c:pt idx="3">
                  <c:v>FUERA PACTO / OTROS</c:v>
                </c:pt>
              </c:strCache>
            </c:strRef>
          </c:cat>
          <c:val>
            <c:numRef>
              <c:f>'RESULTADOS PMB'!$AF$11:$AI$11</c:f>
              <c:numCache>
                <c:formatCode>0.0</c:formatCode>
                <c:ptCount val="4"/>
                <c:pt idx="0">
                  <c:v>74.885131529949717</c:v>
                </c:pt>
                <c:pt idx="1">
                  <c:v>17.161669236007405</c:v>
                </c:pt>
                <c:pt idx="2">
                  <c:v>1.1904533336643877</c:v>
                </c:pt>
                <c:pt idx="3">
                  <c:v>6.762745900378496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1C-45D4-BD8A-FF43A0A9BF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Distribución</a:t>
            </a:r>
            <a:r>
              <a:rPr lang="es-ES" baseline="0"/>
              <a:t> PMB 2014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35E-4EFB-BB3B-472589CF3F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35E-4EFB-BB3B-472589CF3F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35E-4EFB-BB3B-472589CF3F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35E-4EFB-BB3B-472589CF3F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'RESULTADOS PMB'!$Z$2:$AC$2</c:f>
              <c:strCache>
                <c:ptCount val="4"/>
                <c:pt idx="0">
                  <c:v>NUEVA MAYORIA</c:v>
                </c:pt>
                <c:pt idx="1">
                  <c:v>CHILEVAMOS</c:v>
                </c:pt>
                <c:pt idx="2">
                  <c:v>PRO</c:v>
                </c:pt>
                <c:pt idx="3">
                  <c:v>FUERA PACTO / OTROS</c:v>
                </c:pt>
              </c:strCache>
            </c:strRef>
          </c:cat>
          <c:val>
            <c:numRef>
              <c:f>'RESULTADOS PMB'!$Z$3:$AC$3</c:f>
              <c:numCache>
                <c:formatCode>0.00</c:formatCode>
                <c:ptCount val="4"/>
                <c:pt idx="0">
                  <c:v>55</c:v>
                </c:pt>
                <c:pt idx="1">
                  <c:v>38.87096774193548</c:v>
                </c:pt>
                <c:pt idx="2">
                  <c:v>5.161290322580645</c:v>
                </c:pt>
                <c:pt idx="3">
                  <c:v>0.967741935483871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35E-4EFB-BB3B-472589CF3F32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F35E-4EFB-BB3B-472589CF3F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F35E-4EFB-BB3B-472589CF3F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F35E-4EFB-BB3B-472589CF3F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F35E-4EFB-BB3B-472589CF3F32}"/>
              </c:ext>
            </c:extLst>
          </c:dPt>
          <c:cat>
            <c:strRef>
              <c:f>'RESULTADOS PMB'!$Z$2:$AC$2</c:f>
              <c:strCache>
                <c:ptCount val="4"/>
                <c:pt idx="0">
                  <c:v>NUEVA MAYORIA</c:v>
                </c:pt>
                <c:pt idx="1">
                  <c:v>CHILEVAMOS</c:v>
                </c:pt>
                <c:pt idx="2">
                  <c:v>PRO</c:v>
                </c:pt>
                <c:pt idx="3">
                  <c:v>FUERA PACTO / OTROS</c:v>
                </c:pt>
              </c:strCache>
            </c:strRef>
          </c:cat>
          <c:val>
            <c:numRef>
              <c:f>'RESULTADOS PMB'!$Z$4:$AC$4</c:f>
              <c:numCache>
                <c:formatCode>0.00</c:formatCode>
                <c:ptCount val="4"/>
                <c:pt idx="0">
                  <c:v>57.09045262720938</c:v>
                </c:pt>
                <c:pt idx="1">
                  <c:v>37.619023407552739</c:v>
                </c:pt>
                <c:pt idx="2">
                  <c:v>4.8921129529819423</c:v>
                </c:pt>
                <c:pt idx="3">
                  <c:v>0.3984110122559405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35E-4EFB-BB3B-472589CF3F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Distribución PMU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4E7-49D9-9DD3-3C3B13B340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4E7-49D9-9DD3-3C3B13B340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4E7-49D9-9DD3-3C3B13B340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4E7-49D9-9DD3-3C3B13B340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'RESULTADOS PMU'!$AE$6:$AH$6</c:f>
              <c:strCache>
                <c:ptCount val="4"/>
                <c:pt idx="0">
                  <c:v>NUEVA MAYORIA</c:v>
                </c:pt>
                <c:pt idx="1">
                  <c:v>CHILEVAMOS</c:v>
                </c:pt>
                <c:pt idx="2">
                  <c:v>PRO</c:v>
                </c:pt>
                <c:pt idx="3">
                  <c:v>FUERA PACTO / OTROS</c:v>
                </c:pt>
              </c:strCache>
            </c:strRef>
          </c:cat>
          <c:val>
            <c:numRef>
              <c:f>'RESULTADOS PMU'!$AE$7:$AH$7</c:f>
              <c:numCache>
                <c:formatCode>0.0</c:formatCode>
                <c:ptCount val="4"/>
                <c:pt idx="0">
                  <c:v>62.735121837130208</c:v>
                </c:pt>
                <c:pt idx="1">
                  <c:v>33.56189978279054</c:v>
                </c:pt>
                <c:pt idx="2">
                  <c:v>3.628082232806491</c:v>
                </c:pt>
                <c:pt idx="3">
                  <c:v>7.4896147272758881E-2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4E7-49D9-9DD3-3C3B13B34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Distribución PMU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CC0-4FDF-AE17-F85EB6D9BD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CC0-4FDF-AE17-F85EB6D9BD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CC0-4FDF-AE17-F85EB6D9BD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CC0-4FDF-AE17-F85EB6D9BD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'RESULTADOS PMU'!$AE$10:$AH$10</c:f>
              <c:strCache>
                <c:ptCount val="4"/>
                <c:pt idx="0">
                  <c:v>NUEVA MAYORIA</c:v>
                </c:pt>
                <c:pt idx="1">
                  <c:v>CHILEVAMOS</c:v>
                </c:pt>
                <c:pt idx="2">
                  <c:v>PRO</c:v>
                </c:pt>
                <c:pt idx="3">
                  <c:v>FUERA PACTO / OTROS</c:v>
                </c:pt>
              </c:strCache>
            </c:strRef>
          </c:cat>
          <c:val>
            <c:numRef>
              <c:f>'RESULTADOS PMU'!$AE$11:$AH$11</c:f>
              <c:numCache>
                <c:formatCode>0.0</c:formatCode>
                <c:ptCount val="4"/>
                <c:pt idx="0">
                  <c:v>65.97370156590722</c:v>
                </c:pt>
                <c:pt idx="1">
                  <c:v>33.551180834771806</c:v>
                </c:pt>
                <c:pt idx="2">
                  <c:v>0.47511759932097497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C0-4FDF-AE17-F85EB6D9B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3419572553430819E-2"/>
          <c:y val="0.16641146915319946"/>
          <c:w val="0.92586352148272955"/>
          <c:h val="0.670838374677544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Nueva Mayoría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B8A-42C8-A998-AC4C9622BD4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B8A-42C8-A998-AC4C9622BD40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B8A-42C8-A998-AC4C9622BD40}"/>
              </c:ext>
            </c:extLst>
          </c:dPt>
          <c:dLbls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</c:f>
              <c:strCache>
                <c:ptCount val="2"/>
                <c:pt idx="0">
                  <c:v>2014</c:v>
                </c:pt>
                <c:pt idx="1">
                  <c:v>2016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46.5</c:v>
                </c:pt>
                <c:pt idx="1">
                  <c:v>89.6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8A-42C8-A998-AC4C9622BD4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Chile Vamos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7.3799053230368852E-2"/>
                </c:manualLayout>
              </c:layout>
              <c:spPr>
                <a:noFill/>
                <a:ln w="25383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s-E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8A-42C8-A998-AC4C9622BD40}"/>
                </c:ext>
              </c:extLst>
            </c:dLbl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</c:f>
              <c:strCache>
                <c:ptCount val="2"/>
                <c:pt idx="0">
                  <c:v>2014</c:v>
                </c:pt>
                <c:pt idx="1">
                  <c:v>2016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53.5</c:v>
                </c:pt>
                <c:pt idx="1">
                  <c:v>10.400000000000006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8A-42C8-A998-AC4C9622B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83"/>
        <c:axId val="153258680"/>
        <c:axId val="1"/>
      </c:barChart>
      <c:catAx>
        <c:axId val="153258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32586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99">
          <a:latin typeface="Book Antiqua" panose="02040602050305030304" pitchFamily="18" charset="0"/>
        </a:defRPr>
      </a:pPr>
      <a:endParaRPr lang="es-E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0.11659</cdr:x>
      <cdr:y>0.41585</cdr:y>
    </cdr:from>
    <cdr:to>
      <cdr:x>0.171</cdr:x>
      <cdr:y>0.62708</cdr:y>
    </cdr:to>
    <cdr:sp macro="" textlink="">
      <cdr:nvSpPr>
        <cdr:cNvPr id="2" name="1 Abrir llave"/>
        <cdr:cNvSpPr/>
      </cdr:nvSpPr>
      <cdr:spPr>
        <a:xfrm xmlns:a="http://schemas.openxmlformats.org/drawingml/2006/main">
          <a:off x="357810" y="1001865"/>
          <a:ext cx="166976" cy="508884"/>
        </a:xfrm>
        <a:prstGeom xmlns:a="http://schemas.openxmlformats.org/drawingml/2006/main" prst="lef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0.84722</cdr:x>
      <cdr:y>0.30694</cdr:y>
    </cdr:from>
    <cdr:to>
      <cdr:x>0.90422</cdr:x>
      <cdr:y>0.72939</cdr:y>
    </cdr:to>
    <cdr:sp macro="" textlink="">
      <cdr:nvSpPr>
        <cdr:cNvPr id="3" name="2 Cerrar llave"/>
        <cdr:cNvSpPr/>
      </cdr:nvSpPr>
      <cdr:spPr>
        <a:xfrm xmlns:a="http://schemas.openxmlformats.org/drawingml/2006/main">
          <a:off x="2600077" y="739471"/>
          <a:ext cx="174928" cy="1017767"/>
        </a:xfrm>
        <a:prstGeom xmlns:a="http://schemas.openxmlformats.org/drawingml/2006/main" prst="righ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</cdr:x>
      <cdr:y>0.43895</cdr:y>
    </cdr:from>
    <cdr:to>
      <cdr:x>0.15286</cdr:x>
      <cdr:y>0.63698</cdr:y>
    </cdr:to>
    <cdr:sp macro="" textlink="">
      <cdr:nvSpPr>
        <cdr:cNvPr id="4" name="3 Rectángulo"/>
        <cdr:cNvSpPr/>
      </cdr:nvSpPr>
      <cdr:spPr>
        <a:xfrm xmlns:a="http://schemas.openxmlformats.org/drawingml/2006/main">
          <a:off x="-2353586" y="1057525"/>
          <a:ext cx="469127" cy="4770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s-CL" sz="800" b="0">
              <a:solidFill>
                <a:sysClr val="windowText" lastClr="000000"/>
              </a:solidFill>
              <a:latin typeface="Book Antiqua" panose="02040602050305030304" pitchFamily="18" charset="0"/>
            </a:rPr>
            <a:t>1,5 veces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1889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Espinoza</dc:creator>
  <cp:keywords/>
  <dc:description/>
  <cp:lastModifiedBy>Luis Espinoza</cp:lastModifiedBy>
  <cp:revision>3</cp:revision>
  <dcterms:created xsi:type="dcterms:W3CDTF">2016-08-18T18:27:00Z</dcterms:created>
  <dcterms:modified xsi:type="dcterms:W3CDTF">2016-08-18T18:27:00Z</dcterms:modified>
</cp:coreProperties>
</file>